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AF" w:rsidRPr="00DF4F5A" w:rsidRDefault="00A144D0">
      <w:pPr>
        <w:topLinePunct/>
        <w:autoSpaceDE/>
        <w:autoSpaceDN/>
        <w:snapToGrid w:val="0"/>
        <w:spacing w:beforeLines="50" w:before="120" w:afterLines="50" w:after="120"/>
        <w:jc w:val="both"/>
        <w:rPr>
          <w:rFonts w:eastAsia="宋体"/>
          <w:snapToGrid w:val="0"/>
        </w:rPr>
      </w:pPr>
      <w:bookmarkStart w:id="0" w:name="_GoBack"/>
      <w:r w:rsidRPr="00DF4F5A">
        <w:rPr>
          <w:rFonts w:eastAsia="宋体"/>
          <w:color w:val="070404"/>
        </w:rPr>
        <w:t>ICS 71.100.20</w:t>
      </w:r>
    </w:p>
    <w:p w:rsidR="00B250AF" w:rsidRPr="00DF4F5A" w:rsidRDefault="00A144D0">
      <w:pPr>
        <w:pStyle w:val="a3"/>
        <w:topLinePunct/>
        <w:autoSpaceDE/>
        <w:autoSpaceDN/>
        <w:snapToGrid w:val="0"/>
        <w:spacing w:beforeLines="50" w:before="120" w:afterLines="50" w:after="120"/>
        <w:jc w:val="both"/>
        <w:rPr>
          <w:rFonts w:ascii="Times New Roman" w:eastAsia="宋体" w:cs="Times New Roman"/>
          <w:snapToGrid w:val="0"/>
          <w:color w:val="070404"/>
          <w:sz w:val="24"/>
        </w:rPr>
      </w:pPr>
      <w:r w:rsidRPr="00DF4F5A">
        <w:rPr>
          <w:rFonts w:ascii="Times New Roman" w:eastAsia="宋体" w:cs="Times New Roman"/>
          <w:color w:val="070404"/>
          <w:sz w:val="24"/>
        </w:rPr>
        <w:t>G 86</w:t>
      </w:r>
    </w:p>
    <w:p w:rsidR="00B250AF" w:rsidRPr="00DF4F5A" w:rsidRDefault="00A144D0">
      <w:pPr>
        <w:pStyle w:val="a3"/>
        <w:topLinePunct/>
        <w:autoSpaceDE/>
        <w:autoSpaceDN/>
        <w:snapToGrid w:val="0"/>
        <w:spacing w:beforeLines="50" w:before="120" w:afterLines="50" w:after="120"/>
        <w:jc w:val="right"/>
        <w:rPr>
          <w:rFonts w:ascii="Times New Roman" w:eastAsia="宋体" w:cs="Times New Roman"/>
          <w:snapToGrid w:val="0"/>
          <w:sz w:val="24"/>
        </w:rPr>
      </w:pPr>
      <w:r w:rsidRPr="00DF4F5A">
        <w:rPr>
          <w:rFonts w:ascii="Times New Roman" w:cs="Times New Roman"/>
          <w:noProof/>
        </w:rPr>
        <w:drawing>
          <wp:inline distT="0" distB="0" distL="0" distR="0" wp14:anchorId="294FF678" wp14:editId="7BAF160F">
            <wp:extent cx="1190625" cy="614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195375" cy="617284"/>
                    </a:xfrm>
                    <a:prstGeom prst="rect">
                      <a:avLst/>
                    </a:prstGeom>
                  </pic:spPr>
                </pic:pic>
              </a:graphicData>
            </a:graphic>
          </wp:inline>
        </w:drawing>
      </w:r>
    </w:p>
    <w:p w:rsidR="00B250AF" w:rsidRPr="00DF4F5A" w:rsidRDefault="00A144D0">
      <w:pPr>
        <w:pStyle w:val="1"/>
        <w:topLinePunct/>
        <w:autoSpaceDE/>
        <w:autoSpaceDN/>
        <w:snapToGrid w:val="0"/>
        <w:spacing w:beforeLines="50" w:before="120" w:afterLines="50" w:after="120"/>
        <w:jc w:val="center"/>
        <w:rPr>
          <w:rFonts w:ascii="Times New Roman" w:eastAsia="宋体" w:cs="Times New Roman"/>
          <w:snapToGrid w:val="0"/>
          <w:sz w:val="72"/>
          <w:szCs w:val="72"/>
        </w:rPr>
      </w:pPr>
      <w:r w:rsidRPr="00DF4F5A">
        <w:rPr>
          <w:rFonts w:ascii="Times New Roman" w:cs="Times New Roman"/>
          <w:color w:val="040000"/>
          <w:sz w:val="72"/>
        </w:rPr>
        <w:t>National Standards of the People's Republic of China</w:t>
      </w:r>
    </w:p>
    <w:p w:rsidR="00B250AF" w:rsidRPr="00DF4F5A" w:rsidRDefault="00A144D0">
      <w:pPr>
        <w:pStyle w:val="2"/>
        <w:topLinePunct/>
        <w:autoSpaceDE/>
        <w:autoSpaceDN/>
        <w:snapToGrid w:val="0"/>
        <w:spacing w:beforeLines="50" w:before="120" w:afterLines="50" w:after="120"/>
        <w:jc w:val="right"/>
        <w:rPr>
          <w:rFonts w:ascii="Times New Roman" w:eastAsia="宋体" w:cs="Times New Roman"/>
          <w:snapToGrid w:val="0"/>
          <w:sz w:val="24"/>
        </w:rPr>
      </w:pPr>
      <w:r w:rsidRPr="00DF4F5A">
        <w:rPr>
          <w:rFonts w:ascii="Times New Roman" w:eastAsia="宋体" w:cs="Times New Roman"/>
          <w:b/>
          <w:color w:val="070404"/>
          <w:sz w:val="28"/>
        </w:rPr>
        <w:t>GB/</w:t>
      </w:r>
      <w:r w:rsidR="00B1734E" w:rsidRPr="00DF4F5A">
        <w:rPr>
          <w:rFonts w:ascii="Times New Roman" w:eastAsia="宋体" w:cs="Times New Roman"/>
          <w:b/>
          <w:color w:val="070404"/>
          <w:sz w:val="28"/>
        </w:rPr>
        <w:t xml:space="preserve">T </w:t>
      </w:r>
      <w:r w:rsidR="00B1734E" w:rsidRPr="00DF4F5A">
        <w:rPr>
          <w:rFonts w:ascii="Times New Roman" w:eastAsia="宋体" w:cs="Times New Roman"/>
          <w:color w:val="070404"/>
          <w:sz w:val="28"/>
        </w:rPr>
        <w:t>34528</w:t>
      </w:r>
      <w:r w:rsidRPr="00DF4F5A">
        <w:rPr>
          <w:rFonts w:ascii="Times New Roman" w:eastAsia="宋体" w:cs="Times New Roman"/>
          <w:color w:val="070404"/>
          <w:sz w:val="28"/>
        </w:rPr>
        <w:t>-2017</w:t>
      </w:r>
    </w:p>
    <w:p w:rsidR="00B250AF" w:rsidRPr="00DF4F5A" w:rsidRDefault="00B250AF">
      <w:pPr>
        <w:pStyle w:val="1"/>
        <w:pBdr>
          <w:bottom w:val="single" w:sz="4" w:space="1" w:color="auto"/>
        </w:pBdr>
        <w:topLinePunct/>
        <w:autoSpaceDE/>
        <w:autoSpaceDN/>
        <w:snapToGrid w:val="0"/>
        <w:spacing w:beforeLines="50" w:before="120" w:afterLines="50" w:after="120"/>
        <w:jc w:val="both"/>
        <w:rPr>
          <w:rFonts w:ascii="Times New Roman" w:eastAsia="宋体" w:cs="Times New Roman"/>
          <w:snapToGrid w:val="0"/>
          <w:color w:val="050303"/>
          <w:sz w:val="24"/>
        </w:rPr>
      </w:pPr>
    </w:p>
    <w:p w:rsidR="00B250AF" w:rsidRPr="00DF4F5A" w:rsidRDefault="00B250AF">
      <w:pPr>
        <w:pStyle w:val="1"/>
        <w:topLinePunct/>
        <w:autoSpaceDE/>
        <w:autoSpaceDN/>
        <w:snapToGrid w:val="0"/>
        <w:spacing w:beforeLines="50" w:before="120" w:afterLines="50" w:after="120"/>
        <w:jc w:val="both"/>
        <w:rPr>
          <w:rFonts w:ascii="Times New Roman" w:eastAsia="宋体" w:cs="Times New Roman"/>
          <w:snapToGrid w:val="0"/>
          <w:color w:val="050303"/>
          <w:sz w:val="24"/>
        </w:rPr>
      </w:pPr>
    </w:p>
    <w:p w:rsidR="00B250AF" w:rsidRPr="00DF4F5A" w:rsidRDefault="00B250AF">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B250AF" w:rsidRPr="00DF4F5A" w:rsidRDefault="00B250AF">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B250AF" w:rsidRPr="00DF4F5A" w:rsidRDefault="00B250AF">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B250AF" w:rsidRPr="00DF4F5A" w:rsidRDefault="00B250AF">
      <w:pPr>
        <w:pStyle w:val="1"/>
        <w:topLinePunct/>
        <w:autoSpaceDE/>
        <w:autoSpaceDN/>
        <w:snapToGrid w:val="0"/>
        <w:spacing w:beforeLines="50" w:before="120" w:afterLines="50" w:after="120"/>
        <w:jc w:val="center"/>
        <w:rPr>
          <w:rFonts w:ascii="Times New Roman" w:eastAsia="宋体" w:cs="Times New Roman"/>
          <w:snapToGrid w:val="0"/>
          <w:color w:val="050303"/>
          <w:sz w:val="24"/>
        </w:rPr>
      </w:pPr>
    </w:p>
    <w:p w:rsidR="00B250AF" w:rsidRPr="00DF4F5A" w:rsidRDefault="00A144D0">
      <w:pPr>
        <w:pStyle w:val="1"/>
        <w:topLinePunct/>
        <w:autoSpaceDE/>
        <w:autoSpaceDN/>
        <w:snapToGrid w:val="0"/>
        <w:spacing w:beforeLines="50" w:before="120" w:afterLines="50" w:after="120"/>
        <w:jc w:val="center"/>
        <w:rPr>
          <w:rFonts w:ascii="Times New Roman" w:eastAsia="宋体" w:cs="Times New Roman"/>
          <w:b/>
          <w:snapToGrid w:val="0"/>
          <w:color w:val="060404"/>
          <w:sz w:val="28"/>
        </w:rPr>
      </w:pPr>
      <w:r w:rsidRPr="00DF4F5A">
        <w:rPr>
          <w:rFonts w:ascii="Times New Roman" w:cs="Times New Roman"/>
          <w:b/>
          <w:color w:val="050303"/>
          <w:sz w:val="48"/>
        </w:rPr>
        <w:t>Regulation for filling of cylinder bundle</w:t>
      </w: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color w:val="060404"/>
          <w:sz w:val="24"/>
        </w:rPr>
      </w:pP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sz w:val="24"/>
        </w:rPr>
      </w:pP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sz w:val="24"/>
        </w:rPr>
      </w:pP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sz w:val="24"/>
        </w:rPr>
      </w:pPr>
    </w:p>
    <w:p w:rsidR="00B250AF" w:rsidRPr="00DF4F5A" w:rsidRDefault="00B250AF">
      <w:pPr>
        <w:pStyle w:val="a3"/>
        <w:topLinePunct/>
        <w:autoSpaceDE/>
        <w:autoSpaceDN/>
        <w:snapToGrid w:val="0"/>
        <w:spacing w:beforeLines="50" w:before="120" w:afterLines="50" w:after="120"/>
        <w:jc w:val="both"/>
        <w:rPr>
          <w:rFonts w:ascii="Times New Roman" w:eastAsia="宋体" w:cs="Times New Roman"/>
          <w:snapToGrid w:val="0"/>
          <w:sz w:val="24"/>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
      <w:tblGrid>
        <w:gridCol w:w="1883"/>
        <w:gridCol w:w="5387"/>
        <w:gridCol w:w="1882"/>
      </w:tblGrid>
      <w:tr w:rsidR="00B250AF" w:rsidRPr="00DF4F5A">
        <w:tc>
          <w:tcPr>
            <w:tcW w:w="3972" w:type="pct"/>
            <w:gridSpan w:val="2"/>
            <w:tcBorders>
              <w:top w:val="nil"/>
              <w:left w:val="nil"/>
              <w:bottom w:val="single" w:sz="4" w:space="0" w:color="auto"/>
              <w:right w:val="nil"/>
            </w:tcBorders>
          </w:tcPr>
          <w:p w:rsidR="00B250AF" w:rsidRPr="00DF4F5A" w:rsidRDefault="00A144D0">
            <w:pPr>
              <w:pStyle w:val="2"/>
              <w:topLinePunct/>
              <w:autoSpaceDE/>
              <w:snapToGrid w:val="0"/>
              <w:spacing w:beforeLines="50" w:before="120" w:afterLines="50" w:after="120"/>
              <w:jc w:val="both"/>
              <w:outlineLvl w:val="1"/>
              <w:rPr>
                <w:rFonts w:ascii="Times New Roman" w:eastAsia="宋体" w:cs="Times New Roman"/>
                <w:snapToGrid w:val="0"/>
                <w:sz w:val="24"/>
              </w:rPr>
            </w:pPr>
            <w:r w:rsidRPr="00DF4F5A">
              <w:rPr>
                <w:rFonts w:ascii="Times New Roman" w:cs="Times New Roman"/>
                <w:color w:val="070505"/>
                <w:sz w:val="24"/>
              </w:rPr>
              <w:t>Issued on October 14, 2017</w:t>
            </w:r>
          </w:p>
        </w:tc>
        <w:tc>
          <w:tcPr>
            <w:tcW w:w="1028" w:type="pct"/>
            <w:tcBorders>
              <w:top w:val="nil"/>
              <w:left w:val="nil"/>
              <w:bottom w:val="single" w:sz="4" w:space="0" w:color="auto"/>
              <w:right w:val="nil"/>
            </w:tcBorders>
          </w:tcPr>
          <w:p w:rsidR="00B250AF" w:rsidRPr="00DF4F5A" w:rsidRDefault="00A144D0">
            <w:pPr>
              <w:pStyle w:val="2"/>
              <w:topLinePunct/>
              <w:autoSpaceDE/>
              <w:snapToGrid w:val="0"/>
              <w:spacing w:beforeLines="50" w:before="120" w:afterLines="50" w:after="120"/>
              <w:jc w:val="right"/>
              <w:outlineLvl w:val="1"/>
              <w:rPr>
                <w:rFonts w:ascii="Times New Roman" w:eastAsia="宋体" w:cs="Times New Roman"/>
                <w:snapToGrid w:val="0"/>
                <w:sz w:val="24"/>
              </w:rPr>
            </w:pPr>
            <w:r w:rsidRPr="00DF4F5A">
              <w:rPr>
                <w:rFonts w:ascii="Times New Roman" w:cs="Times New Roman"/>
                <w:color w:val="070404"/>
                <w:sz w:val="24"/>
              </w:rPr>
              <w:t>Implemented on May 1, 2018</w:t>
            </w:r>
          </w:p>
        </w:tc>
      </w:tr>
      <w:tr w:rsidR="00B250AF" w:rsidRPr="00DF4F5A">
        <w:tc>
          <w:tcPr>
            <w:tcW w:w="1029" w:type="pct"/>
          </w:tcPr>
          <w:p w:rsidR="00B250AF" w:rsidRPr="00DF4F5A" w:rsidRDefault="00B250AF">
            <w:pPr>
              <w:pStyle w:val="a3"/>
              <w:topLinePunct/>
              <w:autoSpaceDE/>
              <w:snapToGrid w:val="0"/>
              <w:spacing w:beforeLines="50" w:before="120" w:afterLines="50" w:after="120"/>
              <w:ind w:left="956"/>
              <w:jc w:val="right"/>
              <w:rPr>
                <w:rFonts w:ascii="Times New Roman" w:eastAsia="宋体" w:cs="Times New Roman"/>
                <w:snapToGrid w:val="0"/>
                <w:sz w:val="24"/>
              </w:rPr>
            </w:pPr>
          </w:p>
        </w:tc>
        <w:tc>
          <w:tcPr>
            <w:tcW w:w="2943" w:type="pct"/>
          </w:tcPr>
          <w:p w:rsidR="00B250AF" w:rsidRPr="00DF4F5A" w:rsidRDefault="00A144D0">
            <w:pPr>
              <w:pStyle w:val="a3"/>
              <w:topLinePunct/>
              <w:autoSpaceDE/>
              <w:snapToGrid w:val="0"/>
              <w:spacing w:beforeLines="50" w:before="120" w:afterLines="50" w:after="120"/>
              <w:jc w:val="center"/>
              <w:rPr>
                <w:rFonts w:ascii="Times New Roman" w:eastAsia="宋体" w:cs="Times New Roman"/>
                <w:b/>
                <w:snapToGrid w:val="0"/>
                <w:sz w:val="24"/>
              </w:rPr>
            </w:pPr>
            <w:r w:rsidRPr="00DF4F5A">
              <w:rPr>
                <w:rFonts w:ascii="Times New Roman" w:cs="Times New Roman"/>
                <w:b/>
                <w:color w:val="070504"/>
                <w:sz w:val="24"/>
              </w:rPr>
              <w:t>Issued by General Administration of Quality Supervision, Inspection and Quarantine of the People's Republic of China and</w:t>
            </w:r>
          </w:p>
        </w:tc>
        <w:tc>
          <w:tcPr>
            <w:tcW w:w="1028" w:type="pct"/>
            <w:vMerge w:val="restart"/>
            <w:vAlign w:val="center"/>
          </w:tcPr>
          <w:p w:rsidR="00B250AF" w:rsidRPr="00DF4F5A" w:rsidRDefault="00B250AF">
            <w:pPr>
              <w:topLinePunct/>
              <w:autoSpaceDE/>
              <w:snapToGrid w:val="0"/>
              <w:spacing w:beforeLines="50" w:before="120" w:afterLines="50" w:after="120"/>
              <w:rPr>
                <w:snapToGrid w:val="0"/>
              </w:rPr>
            </w:pPr>
          </w:p>
        </w:tc>
      </w:tr>
      <w:tr w:rsidR="00B250AF" w:rsidRPr="00DF4F5A">
        <w:tc>
          <w:tcPr>
            <w:tcW w:w="1029" w:type="pct"/>
          </w:tcPr>
          <w:p w:rsidR="00B250AF" w:rsidRPr="00DF4F5A" w:rsidRDefault="00B250AF">
            <w:pPr>
              <w:topLinePunct/>
              <w:autoSpaceDE/>
              <w:snapToGrid w:val="0"/>
              <w:spacing w:beforeLines="50" w:before="120" w:afterLines="50" w:after="120"/>
              <w:jc w:val="right"/>
              <w:rPr>
                <w:snapToGrid w:val="0"/>
              </w:rPr>
            </w:pPr>
          </w:p>
        </w:tc>
        <w:tc>
          <w:tcPr>
            <w:tcW w:w="2943" w:type="pct"/>
          </w:tcPr>
          <w:p w:rsidR="00B250AF" w:rsidRPr="00DF4F5A" w:rsidRDefault="00A144D0">
            <w:pPr>
              <w:topLinePunct/>
              <w:autoSpaceDE/>
              <w:snapToGrid w:val="0"/>
              <w:spacing w:beforeLines="50" w:before="120" w:afterLines="50" w:after="120"/>
              <w:jc w:val="center"/>
              <w:rPr>
                <w:b/>
                <w:snapToGrid w:val="0"/>
              </w:rPr>
            </w:pPr>
            <w:r w:rsidRPr="00DF4F5A">
              <w:rPr>
                <w:b/>
                <w:color w:val="070504"/>
              </w:rPr>
              <w:t>Standardization Administration of the People's Republic of China</w:t>
            </w:r>
          </w:p>
        </w:tc>
        <w:tc>
          <w:tcPr>
            <w:tcW w:w="0" w:type="auto"/>
            <w:vMerge/>
            <w:vAlign w:val="center"/>
          </w:tcPr>
          <w:p w:rsidR="00B250AF" w:rsidRPr="00DF4F5A" w:rsidRDefault="00B250AF">
            <w:pPr>
              <w:widowControl/>
              <w:autoSpaceDE/>
              <w:autoSpaceDN/>
              <w:rPr>
                <w:snapToGrid w:val="0"/>
              </w:rPr>
            </w:pPr>
          </w:p>
        </w:tc>
      </w:tr>
    </w:tbl>
    <w:p w:rsidR="00B250AF" w:rsidRPr="00DF4F5A" w:rsidRDefault="00A144D0">
      <w:pPr>
        <w:widowControl/>
        <w:autoSpaceDE/>
        <w:autoSpaceDN/>
        <w:adjustRightInd/>
        <w:rPr>
          <w:rFonts w:eastAsia="宋体"/>
          <w:snapToGrid w:val="0"/>
          <w:color w:val="070404"/>
          <w:szCs w:val="17"/>
        </w:rPr>
      </w:pPr>
      <w:r w:rsidRPr="00DF4F5A">
        <w:rPr>
          <w:rFonts w:eastAsia="宋体"/>
          <w:snapToGrid w:val="0"/>
          <w:color w:val="070404"/>
          <w:szCs w:val="17"/>
        </w:rPr>
        <w:br w:type="page"/>
      </w:r>
    </w:p>
    <w:p w:rsidR="00B250AF" w:rsidRPr="00DF4F5A" w:rsidRDefault="00A144D0">
      <w:pPr>
        <w:kinsoku w:val="0"/>
        <w:overflowPunct w:val="0"/>
        <w:snapToGrid w:val="0"/>
        <w:spacing w:beforeLines="50" w:before="120" w:afterLines="50" w:after="120"/>
        <w:jc w:val="right"/>
        <w:rPr>
          <w:rFonts w:eastAsia="宋体"/>
          <w:snapToGrid w:val="0"/>
          <w:color w:val="000000"/>
          <w:szCs w:val="17"/>
        </w:rPr>
      </w:pPr>
      <w:r w:rsidRPr="00DF4F5A">
        <w:rPr>
          <w:rFonts w:eastAsia="宋体"/>
          <w:color w:val="070405"/>
        </w:rPr>
        <w:lastRenderedPageBreak/>
        <w:t>GB/T 34528-2017</w:t>
      </w:r>
    </w:p>
    <w:p w:rsidR="00B250AF" w:rsidRPr="00DF4F5A" w:rsidRDefault="00A144D0">
      <w:pPr>
        <w:pStyle w:val="a3"/>
        <w:kinsoku w:val="0"/>
        <w:overflowPunct w:val="0"/>
        <w:snapToGrid w:val="0"/>
        <w:spacing w:beforeLines="50" w:before="120" w:afterLines="50" w:after="120"/>
        <w:jc w:val="center"/>
        <w:rPr>
          <w:rFonts w:ascii="Times New Roman" w:eastAsia="宋体" w:cs="Times New Roman"/>
          <w:b/>
          <w:snapToGrid w:val="0"/>
          <w:color w:val="242323"/>
          <w:sz w:val="28"/>
        </w:rPr>
      </w:pPr>
      <w:r w:rsidRPr="00DF4F5A">
        <w:rPr>
          <w:rFonts w:ascii="Times New Roman" w:cs="Times New Roman"/>
          <w:b/>
          <w:color w:val="242323"/>
          <w:sz w:val="28"/>
        </w:rPr>
        <w:t>Preface</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000000"/>
          <w:sz w:val="24"/>
        </w:rPr>
      </w:pPr>
      <w:r w:rsidRPr="00DF4F5A">
        <w:rPr>
          <w:rFonts w:ascii="Times New Roman" w:cs="Times New Roman"/>
          <w:color w:val="242323"/>
          <w:sz w:val="24"/>
        </w:rPr>
        <w:t>This standard was drafted in accordance with the provisions of GB/T 1.1-2009.</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232121"/>
          <w:sz w:val="24"/>
        </w:rPr>
      </w:pPr>
      <w:r w:rsidRPr="00DF4F5A">
        <w:rPr>
          <w:rFonts w:ascii="Times New Roman" w:cs="Times New Roman"/>
          <w:color w:val="232121"/>
          <w:sz w:val="24"/>
        </w:rPr>
        <w:t>It shall be noted that some contents in this document may involve patents. The issuing body of this document shall not be responsible for the identification of any or all such patent rights.</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232121"/>
          <w:sz w:val="24"/>
        </w:rPr>
      </w:pPr>
      <w:r w:rsidRPr="00DF4F5A">
        <w:rPr>
          <w:rFonts w:ascii="Times New Roman" w:cs="Times New Roman"/>
          <w:color w:val="232121"/>
          <w:sz w:val="24"/>
        </w:rPr>
        <w:t>This standard is proposed by and under the centralized management of China Gas Cylinders Standardization Technical Committees (SAC/TC 31).</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000000"/>
          <w:sz w:val="24"/>
        </w:rPr>
      </w:pPr>
      <w:r w:rsidRPr="00DF4F5A">
        <w:rPr>
          <w:rFonts w:ascii="Times New Roman" w:cs="Times New Roman"/>
          <w:color w:val="212121"/>
          <w:sz w:val="24"/>
        </w:rPr>
        <w:t>This standard was drafted by Hangzhou New Century Mixed Gas Co., Ltd., Beijing AP BAIF Gases Industry Co., Ltd., Beijing Praxair Utility Gas Co., Ltd., and China Industry Gases Industry Association.</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000000"/>
          <w:sz w:val="24"/>
        </w:rPr>
      </w:pPr>
      <w:r w:rsidRPr="00DF4F5A">
        <w:rPr>
          <w:rFonts w:ascii="Times New Roman" w:cs="Times New Roman"/>
          <w:color w:val="272525"/>
          <w:sz w:val="24"/>
        </w:rPr>
        <w:t>The main drafters of this standard include: Wu Yueshen, Zhao Junxiu, Fu Chun'gan, Song Qi, Shen Jianlin and Zhang Jinbo.</w:t>
      </w:r>
    </w:p>
    <w:p w:rsidR="00B250AF" w:rsidRPr="00DF4F5A" w:rsidRDefault="00B250AF">
      <w:pPr>
        <w:kinsoku w:val="0"/>
        <w:overflowPunct w:val="0"/>
        <w:snapToGrid w:val="0"/>
        <w:spacing w:beforeLines="50" w:before="120" w:afterLines="50" w:after="120"/>
        <w:ind w:firstLineChars="200" w:firstLine="480"/>
        <w:jc w:val="both"/>
        <w:rPr>
          <w:rFonts w:eastAsia="宋体"/>
          <w:snapToGrid w:val="0"/>
          <w:color w:val="282727"/>
          <w:szCs w:val="12"/>
        </w:rPr>
      </w:pPr>
    </w:p>
    <w:p w:rsidR="00B250AF" w:rsidRPr="00DF4F5A" w:rsidRDefault="00B250AF">
      <w:pPr>
        <w:kinsoku w:val="0"/>
        <w:overflowPunct w:val="0"/>
        <w:snapToGrid w:val="0"/>
        <w:spacing w:beforeLines="50" w:before="120" w:afterLines="50" w:after="120"/>
        <w:ind w:firstLineChars="200" w:firstLine="480"/>
        <w:jc w:val="both"/>
        <w:rPr>
          <w:rFonts w:eastAsia="宋体"/>
          <w:snapToGrid w:val="0"/>
          <w:color w:val="000000"/>
          <w:szCs w:val="12"/>
        </w:rPr>
        <w:sectPr w:rsidR="00B250AF" w:rsidRPr="00DF4F5A">
          <w:footerReference w:type="even" r:id="rId9"/>
          <w:type w:val="continuous"/>
          <w:pgSz w:w="11906" w:h="16840"/>
          <w:pgMar w:top="1134" w:right="1417" w:bottom="1134" w:left="1417" w:header="720" w:footer="720" w:gutter="0"/>
          <w:cols w:space="720" w:equalWidth="0">
            <w:col w:w="9072"/>
          </w:cols>
          <w:docGrid w:linePitch="326"/>
        </w:sectPr>
      </w:pPr>
    </w:p>
    <w:p w:rsidR="00B250AF" w:rsidRPr="00DF4F5A" w:rsidRDefault="00A144D0">
      <w:pPr>
        <w:pStyle w:val="2"/>
        <w:kinsoku w:val="0"/>
        <w:overflowPunct w:val="0"/>
        <w:snapToGrid w:val="0"/>
        <w:spacing w:beforeLines="50" w:before="120" w:afterLines="50" w:after="120"/>
        <w:jc w:val="center"/>
        <w:rPr>
          <w:rFonts w:ascii="Times New Roman" w:eastAsia="宋体" w:cs="Times New Roman"/>
          <w:b/>
          <w:snapToGrid w:val="0"/>
          <w:color w:val="000000"/>
          <w:sz w:val="28"/>
        </w:rPr>
      </w:pPr>
      <w:r w:rsidRPr="00DF4F5A">
        <w:rPr>
          <w:rFonts w:ascii="Times New Roman" w:cs="Times New Roman"/>
          <w:b/>
          <w:color w:val="070505"/>
          <w:sz w:val="28"/>
        </w:rPr>
        <w:lastRenderedPageBreak/>
        <w:t xml:space="preserve">Regulation for filling of cylinder bundle </w:t>
      </w:r>
    </w:p>
    <w:p w:rsidR="00B250AF" w:rsidRPr="00DF4F5A" w:rsidRDefault="00A144D0">
      <w:pPr>
        <w:kinsoku w:val="0"/>
        <w:overflowPunct w:val="0"/>
        <w:snapToGrid w:val="0"/>
        <w:spacing w:beforeLines="50" w:before="120" w:afterLines="50" w:after="120"/>
        <w:jc w:val="both"/>
        <w:rPr>
          <w:rFonts w:eastAsia="宋体"/>
          <w:b/>
          <w:snapToGrid w:val="0"/>
          <w:color w:val="000000"/>
          <w:szCs w:val="18"/>
        </w:rPr>
      </w:pPr>
      <w:r w:rsidRPr="00DF4F5A">
        <w:rPr>
          <w:rFonts w:eastAsia="宋体"/>
          <w:b/>
          <w:color w:val="0B0707"/>
        </w:rPr>
        <w:t xml:space="preserve">1 </w:t>
      </w:r>
      <w:r w:rsidRPr="00DF4F5A">
        <w:rPr>
          <w:rFonts w:eastAsia="宋体"/>
          <w:b/>
          <w:color w:val="0B0707"/>
        </w:rPr>
        <w:tab/>
      </w:r>
      <w:r w:rsidRPr="00DF4F5A">
        <w:rPr>
          <w:b/>
          <w:color w:val="0B0707"/>
        </w:rPr>
        <w:t>Scope</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000000"/>
          <w:sz w:val="24"/>
        </w:rPr>
      </w:pPr>
      <w:r w:rsidRPr="00DF4F5A">
        <w:rPr>
          <w:rFonts w:ascii="Times New Roman" w:cs="Times New Roman"/>
          <w:color w:val="252323"/>
          <w:sz w:val="24"/>
        </w:rPr>
        <w:t>This standard specifies the basic principles and safety technical requirements for filling of cylinder bundle.</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000000"/>
          <w:sz w:val="24"/>
        </w:rPr>
      </w:pPr>
      <w:r w:rsidRPr="00DF4F5A">
        <w:rPr>
          <w:rFonts w:ascii="Times New Roman" w:cs="Times New Roman"/>
          <w:color w:val="242323"/>
          <w:sz w:val="24"/>
        </w:rPr>
        <w:t>This standard is applicable to the filling of cylinder bundles with total water capacity less than or equal to 3000L and medium of compressed gas, high pressure liquefied gas and mixed gas (gas-gas gas mixture) under the ambient temperature of -40</w:t>
      </w:r>
      <w:r w:rsidRPr="00DF4F5A">
        <w:rPr>
          <w:rFonts w:ascii="宋体" w:eastAsia="宋体" w:hAnsi="宋体" w:cs="宋体" w:hint="eastAsia"/>
          <w:color w:val="242323"/>
          <w:sz w:val="24"/>
        </w:rPr>
        <w:t>℃</w:t>
      </w:r>
      <w:r w:rsidRPr="00DF4F5A">
        <w:rPr>
          <w:rFonts w:ascii="Times New Roman" w:cs="Times New Roman"/>
          <w:color w:val="242323"/>
          <w:sz w:val="24"/>
        </w:rPr>
        <w:t xml:space="preserve"> ~ 60</w:t>
      </w:r>
      <w:r w:rsidRPr="00DF4F5A">
        <w:rPr>
          <w:rFonts w:ascii="宋体" w:eastAsia="宋体" w:hAnsi="宋体" w:cs="宋体" w:hint="eastAsia"/>
          <w:color w:val="242323"/>
          <w:sz w:val="24"/>
        </w:rPr>
        <w:t>℃</w:t>
      </w:r>
      <w:r w:rsidRPr="00DF4F5A">
        <w:rPr>
          <w:rFonts w:ascii="Times New Roman" w:cs="Times New Roman"/>
          <w:color w:val="242323"/>
          <w:sz w:val="24"/>
        </w:rPr>
        <w:t>.</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000000"/>
          <w:sz w:val="24"/>
        </w:rPr>
      </w:pPr>
      <w:r w:rsidRPr="00DF4F5A">
        <w:rPr>
          <w:rFonts w:ascii="Times New Roman" w:cs="Times New Roman"/>
          <w:color w:val="242323"/>
          <w:sz w:val="24"/>
        </w:rPr>
        <w:t xml:space="preserve">This standard is not applicable to the filling of cylinder bundles with the liquid-liquid gas mixture as the medium and toxic or highly toxic gas, nor is it applicable to the filling of high-pressure liquefied gas (combustible) and cylinder bundles fixed on the vehicle. </w:t>
      </w:r>
    </w:p>
    <w:p w:rsidR="00B250AF" w:rsidRPr="00DF4F5A" w:rsidRDefault="00A144D0">
      <w:pPr>
        <w:kinsoku w:val="0"/>
        <w:overflowPunct w:val="0"/>
        <w:snapToGrid w:val="0"/>
        <w:spacing w:beforeLines="50" w:before="120" w:afterLines="50" w:after="120"/>
        <w:jc w:val="both"/>
        <w:rPr>
          <w:rFonts w:eastAsia="宋体"/>
          <w:b/>
          <w:snapToGrid w:val="0"/>
          <w:color w:val="000000"/>
          <w:szCs w:val="18"/>
        </w:rPr>
      </w:pPr>
      <w:r w:rsidRPr="00DF4F5A">
        <w:rPr>
          <w:rFonts w:eastAsia="宋体"/>
          <w:b/>
          <w:color w:val="070505"/>
        </w:rPr>
        <w:t xml:space="preserve">2 </w:t>
      </w:r>
      <w:r w:rsidRPr="00DF4F5A">
        <w:rPr>
          <w:rFonts w:eastAsia="宋体"/>
          <w:b/>
          <w:color w:val="070505"/>
        </w:rPr>
        <w:tab/>
      </w:r>
      <w:r w:rsidRPr="00DF4F5A">
        <w:rPr>
          <w:b/>
          <w:color w:val="070505"/>
        </w:rPr>
        <w:t>Normative references</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000000"/>
          <w:sz w:val="24"/>
        </w:rPr>
      </w:pPr>
      <w:r w:rsidRPr="00DF4F5A">
        <w:rPr>
          <w:rFonts w:ascii="Times New Roman" w:cs="Times New Roman"/>
          <w:color w:val="201F1F"/>
          <w:sz w:val="24"/>
        </w:rPr>
        <w:t>The following documents are essential to the application of this document. For dated references, only the dated versions shall be applicable to this document. For any undated references, the latest version (including all amendments) is applicable to this document.</w:t>
      </w:r>
    </w:p>
    <w:p w:rsidR="00B250AF" w:rsidRPr="00DF4F5A" w:rsidRDefault="00A144D0">
      <w:pPr>
        <w:pStyle w:val="a3"/>
        <w:kinsoku w:val="0"/>
        <w:overflowPunct w:val="0"/>
        <w:snapToGrid w:val="0"/>
        <w:spacing w:beforeLines="50" w:before="120" w:afterLines="50" w:after="120"/>
        <w:ind w:leftChars="200" w:left="480"/>
        <w:jc w:val="both"/>
        <w:rPr>
          <w:rFonts w:ascii="Times New Roman" w:eastAsia="宋体" w:cs="Times New Roman"/>
          <w:snapToGrid w:val="0"/>
          <w:color w:val="252525"/>
          <w:sz w:val="24"/>
        </w:rPr>
      </w:pPr>
      <w:r w:rsidRPr="00DF4F5A">
        <w:rPr>
          <w:rFonts w:ascii="Times New Roman" w:cs="Times New Roman"/>
          <w:color w:val="252525"/>
          <w:sz w:val="24"/>
        </w:rPr>
        <w:t xml:space="preserve">GB/T 7144 </w:t>
      </w:r>
      <w:r w:rsidRPr="00DF4F5A">
        <w:rPr>
          <w:rFonts w:ascii="Times New Roman" w:eastAsia="宋体" w:cs="Times New Roman"/>
          <w:color w:val="252525"/>
          <w:sz w:val="24"/>
        </w:rPr>
        <w:tab/>
      </w:r>
      <w:r w:rsidRPr="00DF4F5A">
        <w:rPr>
          <w:rFonts w:ascii="Times New Roman" w:cs="Times New Roman"/>
          <w:color w:val="252525"/>
          <w:sz w:val="24"/>
        </w:rPr>
        <w:t>Coloured cylinder mark for gases</w:t>
      </w:r>
    </w:p>
    <w:p w:rsidR="00B250AF" w:rsidRPr="00DF4F5A" w:rsidRDefault="00A144D0">
      <w:pPr>
        <w:pStyle w:val="a3"/>
        <w:kinsoku w:val="0"/>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DF4F5A">
        <w:rPr>
          <w:rFonts w:ascii="Times New Roman" w:cs="Times New Roman"/>
          <w:color w:val="252525"/>
          <w:sz w:val="24"/>
        </w:rPr>
        <w:t xml:space="preserve">GB/T 13005 </w:t>
      </w:r>
      <w:r w:rsidRPr="00DF4F5A">
        <w:rPr>
          <w:rFonts w:ascii="Times New Roman" w:eastAsia="宋体" w:cs="Times New Roman"/>
          <w:color w:val="252525"/>
          <w:sz w:val="24"/>
        </w:rPr>
        <w:tab/>
      </w:r>
      <w:r w:rsidRPr="00DF4F5A">
        <w:rPr>
          <w:rFonts w:ascii="Times New Roman" w:cs="Times New Roman"/>
          <w:color w:val="252525"/>
          <w:sz w:val="24"/>
        </w:rPr>
        <w:t>Terminology of gas cylinders</w:t>
      </w:r>
    </w:p>
    <w:p w:rsidR="00B250AF" w:rsidRPr="00DF4F5A" w:rsidRDefault="00A144D0">
      <w:pPr>
        <w:pStyle w:val="a3"/>
        <w:kinsoku w:val="0"/>
        <w:overflowPunct w:val="0"/>
        <w:snapToGrid w:val="0"/>
        <w:spacing w:beforeLines="50" w:before="120" w:afterLines="50" w:after="120"/>
        <w:ind w:leftChars="200" w:left="480"/>
        <w:jc w:val="both"/>
        <w:rPr>
          <w:rFonts w:ascii="Times New Roman" w:eastAsia="宋体" w:cs="Times New Roman"/>
          <w:snapToGrid w:val="0"/>
          <w:color w:val="242323"/>
          <w:sz w:val="24"/>
        </w:rPr>
      </w:pPr>
      <w:r w:rsidRPr="00DF4F5A">
        <w:rPr>
          <w:rFonts w:ascii="Times New Roman" w:cs="Times New Roman"/>
          <w:color w:val="242323"/>
          <w:sz w:val="24"/>
        </w:rPr>
        <w:t xml:space="preserve">GB/T 14193 </w:t>
      </w:r>
      <w:r w:rsidRPr="00DF4F5A">
        <w:rPr>
          <w:rFonts w:ascii="Times New Roman" w:eastAsia="宋体" w:cs="Times New Roman"/>
          <w:color w:val="242323"/>
          <w:sz w:val="24"/>
        </w:rPr>
        <w:tab/>
      </w:r>
      <w:r w:rsidRPr="00DF4F5A">
        <w:rPr>
          <w:rFonts w:ascii="Times New Roman" w:cs="Times New Roman"/>
          <w:color w:val="242323"/>
          <w:sz w:val="24"/>
        </w:rPr>
        <w:t>Rules for filling of liquefied gas cylinder</w:t>
      </w:r>
    </w:p>
    <w:p w:rsidR="00B250AF" w:rsidRPr="00DF4F5A" w:rsidRDefault="00A144D0">
      <w:pPr>
        <w:pStyle w:val="a3"/>
        <w:kinsoku w:val="0"/>
        <w:overflowPunct w:val="0"/>
        <w:snapToGrid w:val="0"/>
        <w:spacing w:beforeLines="50" w:before="120" w:afterLines="50" w:after="120"/>
        <w:ind w:leftChars="200" w:left="480"/>
        <w:jc w:val="both"/>
        <w:rPr>
          <w:rFonts w:ascii="Times New Roman" w:eastAsia="宋体" w:cs="Times New Roman"/>
          <w:snapToGrid w:val="0"/>
          <w:color w:val="242323"/>
          <w:sz w:val="24"/>
        </w:rPr>
      </w:pPr>
      <w:r w:rsidRPr="00DF4F5A">
        <w:rPr>
          <w:rFonts w:ascii="Times New Roman" w:cs="Times New Roman"/>
          <w:color w:val="242323"/>
          <w:sz w:val="24"/>
        </w:rPr>
        <w:t xml:space="preserve">GB/T 14194 </w:t>
      </w:r>
      <w:r w:rsidRPr="00DF4F5A">
        <w:rPr>
          <w:rFonts w:ascii="Times New Roman" w:eastAsia="宋体" w:cs="Times New Roman"/>
          <w:color w:val="242323"/>
          <w:sz w:val="24"/>
        </w:rPr>
        <w:tab/>
      </w:r>
      <w:r w:rsidRPr="00DF4F5A">
        <w:rPr>
          <w:rFonts w:ascii="Times New Roman" w:cs="Times New Roman"/>
          <w:color w:val="242323"/>
          <w:sz w:val="24"/>
        </w:rPr>
        <w:t>Rules for filling of permanent gas cylinder</w:t>
      </w:r>
    </w:p>
    <w:p w:rsidR="00B250AF" w:rsidRPr="00DF4F5A" w:rsidRDefault="00A144D0">
      <w:pPr>
        <w:pStyle w:val="a3"/>
        <w:kinsoku w:val="0"/>
        <w:overflowPunct w:val="0"/>
        <w:snapToGrid w:val="0"/>
        <w:spacing w:beforeLines="50" w:before="120" w:afterLines="50" w:after="120"/>
        <w:ind w:leftChars="200" w:left="480"/>
        <w:jc w:val="both"/>
        <w:rPr>
          <w:rFonts w:ascii="Times New Roman" w:eastAsia="宋体" w:cs="Times New Roman"/>
          <w:snapToGrid w:val="0"/>
          <w:color w:val="242323"/>
          <w:sz w:val="24"/>
        </w:rPr>
      </w:pPr>
      <w:r w:rsidRPr="00DF4F5A">
        <w:rPr>
          <w:rFonts w:ascii="Times New Roman" w:cs="Times New Roman"/>
          <w:color w:val="242323"/>
          <w:sz w:val="24"/>
        </w:rPr>
        <w:t xml:space="preserve">GB/T 15383 </w:t>
      </w:r>
      <w:r w:rsidRPr="00DF4F5A">
        <w:rPr>
          <w:rFonts w:ascii="Times New Roman" w:eastAsia="宋体" w:cs="Times New Roman"/>
          <w:color w:val="242323"/>
          <w:sz w:val="24"/>
        </w:rPr>
        <w:tab/>
      </w:r>
      <w:r w:rsidRPr="00DF4F5A">
        <w:rPr>
          <w:rFonts w:ascii="Times New Roman" w:cs="Times New Roman"/>
          <w:color w:val="242323"/>
          <w:sz w:val="24"/>
        </w:rPr>
        <w:t>Connection types and dimensions for gas cylinder valve outlets</w:t>
      </w:r>
    </w:p>
    <w:p w:rsidR="00B250AF" w:rsidRPr="00DF4F5A" w:rsidRDefault="00A144D0">
      <w:pPr>
        <w:pStyle w:val="a3"/>
        <w:kinsoku w:val="0"/>
        <w:overflowPunct w:val="0"/>
        <w:snapToGrid w:val="0"/>
        <w:spacing w:beforeLines="50" w:before="120" w:afterLines="50" w:after="120"/>
        <w:ind w:leftChars="200" w:left="480"/>
        <w:jc w:val="both"/>
        <w:rPr>
          <w:rFonts w:ascii="Times New Roman" w:eastAsia="宋体" w:cs="Times New Roman"/>
          <w:snapToGrid w:val="0"/>
          <w:color w:val="000000"/>
          <w:sz w:val="24"/>
        </w:rPr>
      </w:pPr>
      <w:r w:rsidRPr="00DF4F5A">
        <w:rPr>
          <w:rFonts w:ascii="Times New Roman" w:cs="Times New Roman"/>
          <w:color w:val="242323"/>
          <w:sz w:val="24"/>
        </w:rPr>
        <w:t xml:space="preserve">GB/T 28054 </w:t>
      </w:r>
      <w:r w:rsidRPr="00DF4F5A">
        <w:rPr>
          <w:rFonts w:ascii="Times New Roman" w:eastAsia="宋体" w:cs="Times New Roman"/>
          <w:color w:val="242323"/>
          <w:sz w:val="24"/>
        </w:rPr>
        <w:tab/>
      </w:r>
      <w:r w:rsidRPr="00DF4F5A">
        <w:rPr>
          <w:rFonts w:ascii="Times New Roman" w:cs="Times New Roman"/>
          <w:color w:val="242323"/>
          <w:sz w:val="24"/>
        </w:rPr>
        <w:t xml:space="preserve">The bundles of seamless steel gas cylinders </w:t>
      </w:r>
    </w:p>
    <w:p w:rsidR="00B250AF" w:rsidRPr="00DF4F5A" w:rsidRDefault="00A144D0">
      <w:pPr>
        <w:kinsoku w:val="0"/>
        <w:overflowPunct w:val="0"/>
        <w:snapToGrid w:val="0"/>
        <w:spacing w:beforeLines="50" w:before="120" w:afterLines="50" w:after="120"/>
        <w:jc w:val="both"/>
        <w:rPr>
          <w:rFonts w:eastAsia="宋体"/>
          <w:b/>
          <w:snapToGrid w:val="0"/>
          <w:color w:val="000000"/>
          <w:szCs w:val="18"/>
        </w:rPr>
      </w:pPr>
      <w:r w:rsidRPr="00DF4F5A">
        <w:rPr>
          <w:rFonts w:eastAsia="宋体"/>
          <w:b/>
          <w:color w:val="070505"/>
        </w:rPr>
        <w:t xml:space="preserve">3 </w:t>
      </w:r>
      <w:r w:rsidRPr="00DF4F5A">
        <w:rPr>
          <w:rFonts w:eastAsia="宋体"/>
          <w:b/>
          <w:color w:val="070505"/>
        </w:rPr>
        <w:tab/>
      </w:r>
      <w:r w:rsidRPr="00DF4F5A">
        <w:rPr>
          <w:b/>
          <w:color w:val="070505"/>
        </w:rPr>
        <w:t>Terms and definitions</w:t>
      </w:r>
    </w:p>
    <w:p w:rsidR="00B250AF" w:rsidRPr="00DF4F5A" w:rsidRDefault="00A144D0">
      <w:pPr>
        <w:pStyle w:val="a3"/>
        <w:kinsoku w:val="0"/>
        <w:overflowPunct w:val="0"/>
        <w:snapToGrid w:val="0"/>
        <w:spacing w:beforeLines="50" w:before="120" w:afterLines="50" w:after="120"/>
        <w:ind w:firstLineChars="200" w:firstLine="480"/>
        <w:jc w:val="both"/>
        <w:rPr>
          <w:rFonts w:ascii="Times New Roman" w:eastAsia="宋体" w:cs="Times New Roman"/>
          <w:snapToGrid w:val="0"/>
          <w:color w:val="000000"/>
          <w:sz w:val="24"/>
        </w:rPr>
      </w:pPr>
      <w:r w:rsidRPr="00DF4F5A">
        <w:rPr>
          <w:rFonts w:ascii="Times New Roman" w:cs="Times New Roman"/>
          <w:color w:val="222121"/>
          <w:sz w:val="24"/>
        </w:rPr>
        <w:t>Terms and definitions defined in GB/T 13005 and GB/T 28054 are applicable to this document.</w:t>
      </w:r>
    </w:p>
    <w:p w:rsidR="00B250AF" w:rsidRPr="00DF4F5A" w:rsidRDefault="00A144D0">
      <w:pPr>
        <w:kinsoku w:val="0"/>
        <w:overflowPunct w:val="0"/>
        <w:snapToGrid w:val="0"/>
        <w:spacing w:beforeLines="50" w:before="120" w:afterLines="50" w:after="120"/>
        <w:jc w:val="both"/>
        <w:rPr>
          <w:rFonts w:eastAsia="宋体"/>
          <w:b/>
          <w:snapToGrid w:val="0"/>
          <w:color w:val="000000"/>
          <w:szCs w:val="18"/>
        </w:rPr>
      </w:pPr>
      <w:r w:rsidRPr="00DF4F5A">
        <w:rPr>
          <w:rFonts w:eastAsia="宋体"/>
          <w:b/>
          <w:color w:val="080505"/>
        </w:rPr>
        <w:t xml:space="preserve">4 </w:t>
      </w:r>
      <w:r w:rsidRPr="00DF4F5A">
        <w:rPr>
          <w:rFonts w:eastAsia="宋体"/>
          <w:b/>
          <w:color w:val="080505"/>
        </w:rPr>
        <w:tab/>
      </w:r>
      <w:r w:rsidRPr="00DF4F5A">
        <w:rPr>
          <w:b/>
          <w:color w:val="080505"/>
        </w:rPr>
        <w:t>Requirements for cylinder bundle</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22121"/>
          <w:sz w:val="24"/>
        </w:rPr>
        <w:t xml:space="preserve">4.1 </w:t>
      </w:r>
      <w:r w:rsidRPr="00DF4F5A">
        <w:rPr>
          <w:rFonts w:ascii="Times New Roman" w:eastAsia="宋体" w:cs="Times New Roman"/>
          <w:color w:val="222121"/>
          <w:sz w:val="24"/>
        </w:rPr>
        <w:tab/>
      </w:r>
      <w:r w:rsidRPr="00DF4F5A">
        <w:rPr>
          <w:rFonts w:ascii="Times New Roman" w:cs="Times New Roman"/>
          <w:color w:val="222121"/>
          <w:sz w:val="24"/>
        </w:rPr>
        <w:t>The cylinder in the bundle shall comply with the rules of corresponding standards, and have the same nominal working pressure, diameter, volume, and the same inspection cycle. The nominal working pressure shall not be greater than 30MPa, the nominal water capacity of a single cylinder shall not be greater than 150L, and the total water capacity of the cylinder in the bundle shall be less than or equal to 3000</w:t>
      </w:r>
      <w:r w:rsidR="00440EBD" w:rsidRPr="00DF4F5A">
        <w:rPr>
          <w:rFonts w:ascii="Times New Roman" w:cs="Times New Roman"/>
          <w:color w:val="222121"/>
          <w:sz w:val="24"/>
        </w:rPr>
        <w:t xml:space="preserve">L. </w:t>
      </w:r>
      <w:r w:rsidRPr="00DF4F5A">
        <w:rPr>
          <w:rFonts w:ascii="Times New Roman" w:cs="Times New Roman"/>
          <w:color w:val="222121"/>
          <w:sz w:val="24"/>
        </w:rPr>
        <w:t xml:space="preserve">The nominal working pressure of the bundling device used for filling oxygen shall not be greater than 20MPa.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32222"/>
          <w:sz w:val="24"/>
        </w:rPr>
        <w:t xml:space="preserve">4.2 </w:t>
      </w:r>
      <w:r w:rsidRPr="00DF4F5A">
        <w:rPr>
          <w:rFonts w:ascii="Times New Roman" w:eastAsia="宋体" w:cs="Times New Roman"/>
          <w:color w:val="232222"/>
          <w:sz w:val="24"/>
        </w:rPr>
        <w:tab/>
      </w:r>
      <w:r w:rsidRPr="00DF4F5A">
        <w:rPr>
          <w:rFonts w:ascii="Times New Roman" w:cs="Times New Roman"/>
          <w:color w:val="232222"/>
          <w:sz w:val="24"/>
        </w:rPr>
        <w:t xml:space="preserve">The type, model, technical requirements, test methods and requirements, inspection rules, marking requirements, coating requirements, storage, transportation, and safe use of the filled cylinder bundle shall comply with the regulations and requirements of GB/T 28054 and relevant standards.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b/>
          <w:snapToGrid w:val="0"/>
          <w:color w:val="000000"/>
          <w:sz w:val="24"/>
        </w:rPr>
      </w:pPr>
      <w:r w:rsidRPr="00DF4F5A">
        <w:rPr>
          <w:rFonts w:ascii="Times New Roman" w:cs="Times New Roman"/>
          <w:b/>
          <w:color w:val="070505"/>
          <w:sz w:val="24"/>
        </w:rPr>
        <w:t xml:space="preserve">5 </w:t>
      </w:r>
      <w:r w:rsidRPr="00DF4F5A">
        <w:rPr>
          <w:rFonts w:ascii="Times New Roman" w:eastAsia="宋体" w:cs="Times New Roman"/>
          <w:b/>
          <w:color w:val="070505"/>
          <w:sz w:val="24"/>
        </w:rPr>
        <w:tab/>
      </w:r>
      <w:r w:rsidRPr="00DF4F5A">
        <w:rPr>
          <w:rFonts w:ascii="Times New Roman" w:cs="Times New Roman"/>
          <w:b/>
          <w:color w:val="070505"/>
          <w:sz w:val="24"/>
        </w:rPr>
        <w:t xml:space="preserve">Inspection and treatment of cylinder bundle before filling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242323"/>
          <w:sz w:val="24"/>
        </w:rPr>
      </w:pPr>
      <w:r w:rsidRPr="00DF4F5A">
        <w:rPr>
          <w:rFonts w:ascii="Times New Roman" w:cs="Times New Roman"/>
          <w:color w:val="242323"/>
          <w:sz w:val="24"/>
        </w:rPr>
        <w:t xml:space="preserve">5.1 </w:t>
      </w:r>
      <w:r w:rsidRPr="00DF4F5A">
        <w:rPr>
          <w:rFonts w:ascii="Times New Roman" w:eastAsia="宋体" w:cs="Times New Roman"/>
          <w:color w:val="242323"/>
          <w:sz w:val="24"/>
        </w:rPr>
        <w:tab/>
      </w:r>
      <w:r w:rsidRPr="00DF4F5A">
        <w:rPr>
          <w:rFonts w:ascii="Times New Roman" w:cs="Times New Roman"/>
          <w:color w:val="242323"/>
          <w:sz w:val="24"/>
        </w:rPr>
        <w:t xml:space="preserve">The cylinder bundles before filling shall be in the charge of a specially assigned person and inspected one by one. The inspection and requirements shall at least include the following: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323"/>
          <w:sz w:val="24"/>
        </w:rPr>
        <w:t xml:space="preserve">a) </w:t>
      </w:r>
      <w:r w:rsidRPr="00DF4F5A">
        <w:rPr>
          <w:rFonts w:ascii="Times New Roman" w:eastAsia="宋体" w:cs="Times New Roman"/>
          <w:color w:val="242323"/>
          <w:sz w:val="24"/>
        </w:rPr>
        <w:tab/>
      </w:r>
      <w:r w:rsidRPr="00DF4F5A">
        <w:rPr>
          <w:rFonts w:ascii="Times New Roman" w:cs="Times New Roman"/>
          <w:color w:val="242323"/>
          <w:sz w:val="24"/>
        </w:rPr>
        <w:t xml:space="preserve">The nameplate on the cylinder bundles shall be complete and clear;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12020"/>
          <w:sz w:val="24"/>
        </w:rPr>
        <w:t xml:space="preserve">b) </w:t>
      </w:r>
      <w:r w:rsidRPr="00DF4F5A">
        <w:rPr>
          <w:rFonts w:ascii="Times New Roman" w:eastAsia="宋体" w:cs="Times New Roman"/>
          <w:color w:val="212020"/>
          <w:sz w:val="24"/>
        </w:rPr>
        <w:tab/>
      </w:r>
      <w:r w:rsidRPr="00DF4F5A">
        <w:rPr>
          <w:rFonts w:ascii="Times New Roman" w:cs="Times New Roman"/>
          <w:color w:val="212020"/>
          <w:sz w:val="24"/>
        </w:rPr>
        <w:t>Cylinders shall be produced by units with "Special Equipment Manufacturing License";</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323"/>
          <w:sz w:val="24"/>
        </w:rPr>
        <w:t xml:space="preserve">c) </w:t>
      </w:r>
      <w:r w:rsidRPr="00DF4F5A">
        <w:rPr>
          <w:rFonts w:ascii="Times New Roman" w:eastAsia="宋体" w:cs="Times New Roman"/>
          <w:color w:val="242323"/>
          <w:sz w:val="24"/>
        </w:rPr>
        <w:tab/>
      </w:r>
      <w:r w:rsidRPr="00DF4F5A">
        <w:rPr>
          <w:rFonts w:ascii="Times New Roman" w:cs="Times New Roman"/>
          <w:color w:val="242323"/>
          <w:sz w:val="24"/>
        </w:rPr>
        <w:t xml:space="preserve">Imported cylinders shall be approved by the Special Equipment Safety Supervision </w:t>
      </w:r>
      <w:r w:rsidRPr="00DF4F5A">
        <w:rPr>
          <w:rFonts w:ascii="Times New Roman" w:cs="Times New Roman"/>
          <w:color w:val="242323"/>
          <w:sz w:val="24"/>
        </w:rPr>
        <w:lastRenderedPageBreak/>
        <w:t>and Management Department;</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323"/>
          <w:sz w:val="24"/>
        </w:rPr>
        <w:t xml:space="preserve">d) </w:t>
      </w:r>
      <w:r w:rsidRPr="00DF4F5A">
        <w:rPr>
          <w:rFonts w:ascii="Times New Roman" w:eastAsia="宋体" w:cs="Times New Roman"/>
          <w:color w:val="242323"/>
          <w:sz w:val="24"/>
        </w:rPr>
        <w:tab/>
      </w:r>
      <w:r w:rsidRPr="00DF4F5A">
        <w:rPr>
          <w:rFonts w:ascii="Times New Roman" w:cs="Times New Roman"/>
          <w:color w:val="242323"/>
          <w:sz w:val="24"/>
        </w:rPr>
        <w:t xml:space="preserve">The filled gas shall be consistent with the name of the filling medium and warning label on the nameplate;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32222"/>
          <w:sz w:val="24"/>
        </w:rPr>
        <w:t xml:space="preserve">e) </w:t>
      </w:r>
      <w:r w:rsidRPr="00DF4F5A">
        <w:rPr>
          <w:rFonts w:ascii="Times New Roman" w:eastAsia="宋体" w:cs="Times New Roman"/>
          <w:color w:val="232222"/>
          <w:sz w:val="24"/>
        </w:rPr>
        <w:tab/>
      </w:r>
      <w:r w:rsidRPr="00DF4F5A">
        <w:rPr>
          <w:rFonts w:ascii="Times New Roman" w:cs="Times New Roman"/>
          <w:color w:val="232222"/>
          <w:sz w:val="24"/>
        </w:rPr>
        <w:t>The gas to be filled shall be consistent with the name or chemical formula of the filled gas described in the manufacturing steel seal mark of the cylinder;</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32222"/>
          <w:sz w:val="24"/>
        </w:rPr>
        <w:t xml:space="preserve">f) </w:t>
      </w:r>
      <w:r w:rsidRPr="00DF4F5A">
        <w:rPr>
          <w:rFonts w:ascii="Times New Roman" w:eastAsia="宋体" w:cs="Times New Roman"/>
          <w:color w:val="232222"/>
          <w:sz w:val="24"/>
        </w:rPr>
        <w:tab/>
      </w:r>
      <w:r w:rsidRPr="00DF4F5A">
        <w:rPr>
          <w:rFonts w:ascii="Times New Roman" w:cs="Times New Roman"/>
          <w:color w:val="232222"/>
          <w:sz w:val="24"/>
        </w:rPr>
        <w:t>The frame and pipeline system of the cylinder bundles have no obvious deformation and structural component detachment;</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32222"/>
          <w:sz w:val="24"/>
        </w:rPr>
        <w:t xml:space="preserve">g) </w:t>
      </w:r>
      <w:r w:rsidRPr="00DF4F5A">
        <w:rPr>
          <w:rFonts w:ascii="Times New Roman" w:eastAsia="宋体" w:cs="Times New Roman"/>
          <w:color w:val="232222"/>
          <w:sz w:val="24"/>
        </w:rPr>
        <w:tab/>
      </w:r>
      <w:r w:rsidRPr="00DF4F5A">
        <w:rPr>
          <w:rFonts w:ascii="Times New Roman" w:cs="Times New Roman"/>
          <w:color w:val="232222"/>
          <w:sz w:val="24"/>
        </w:rPr>
        <w:t>The outer surface of the cylinder in the cylinder bundles shall be free of cracks, serious corrosion, obvious deformation, and other serious external damage defects;</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12121"/>
          <w:sz w:val="24"/>
        </w:rPr>
        <w:t xml:space="preserve">h) </w:t>
      </w:r>
      <w:r w:rsidRPr="00DF4F5A">
        <w:rPr>
          <w:rFonts w:ascii="Times New Roman" w:eastAsia="宋体" w:cs="Times New Roman"/>
          <w:color w:val="212121"/>
          <w:sz w:val="24"/>
        </w:rPr>
        <w:tab/>
      </w:r>
      <w:r w:rsidRPr="00DF4F5A">
        <w:rPr>
          <w:rFonts w:ascii="Times New Roman" w:cs="Times New Roman"/>
          <w:color w:val="212121"/>
          <w:sz w:val="24"/>
        </w:rPr>
        <w:t xml:space="preserve">The cylinder in the cylinder bundle shall be within the specified inspection validity period, and the regular inspection date of the cylinder in the same bundling device shall be the same. It is specified that the earliest date of the cylinder produced shall be the base date for regular inspection;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12020"/>
          <w:sz w:val="24"/>
        </w:rPr>
        <w:t xml:space="preserve">i) </w:t>
      </w:r>
      <w:r w:rsidRPr="00DF4F5A">
        <w:rPr>
          <w:rFonts w:ascii="Times New Roman" w:eastAsia="宋体" w:cs="Times New Roman"/>
          <w:color w:val="212020"/>
          <w:sz w:val="24"/>
        </w:rPr>
        <w:tab/>
      </w:r>
      <w:r w:rsidRPr="00DF4F5A">
        <w:rPr>
          <w:rFonts w:ascii="Times New Roman" w:cs="Times New Roman"/>
          <w:color w:val="212020"/>
          <w:sz w:val="24"/>
        </w:rPr>
        <w:t xml:space="preserve">Accessories in the cylinder bundle shall be in good condition and effective, and those equipped with pressure gauges and safety valves shall be within the validity period of the inspection;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32222"/>
          <w:sz w:val="24"/>
        </w:rPr>
        <w:t xml:space="preserve">j) </w:t>
      </w:r>
      <w:r w:rsidRPr="00DF4F5A">
        <w:rPr>
          <w:rFonts w:ascii="Times New Roman" w:eastAsia="宋体" w:cs="Times New Roman"/>
          <w:color w:val="232222"/>
          <w:sz w:val="24"/>
        </w:rPr>
        <w:tab/>
      </w:r>
      <w:r w:rsidRPr="00DF4F5A">
        <w:rPr>
          <w:rFonts w:ascii="Times New Roman" w:cs="Times New Roman"/>
          <w:color w:val="232222"/>
          <w:sz w:val="24"/>
        </w:rPr>
        <w:t xml:space="preserve">The inflation and deflation valve, cylinder valve or cylinder connector in the cylinder bundle and the characteristics of the gas mixture shall be classified according to the corresponding national standards, and the connection type and size of the gas outlet shall meet the requirements of GB/T 15383;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52424"/>
          <w:sz w:val="24"/>
        </w:rPr>
        <w:t xml:space="preserve">k) </w:t>
      </w:r>
      <w:r w:rsidRPr="00DF4F5A">
        <w:rPr>
          <w:rFonts w:ascii="Times New Roman" w:eastAsia="宋体" w:cs="Times New Roman"/>
          <w:color w:val="252424"/>
          <w:sz w:val="24"/>
        </w:rPr>
        <w:tab/>
      </w:r>
      <w:r w:rsidRPr="00DF4F5A">
        <w:rPr>
          <w:rFonts w:ascii="Times New Roman" w:cs="Times New Roman"/>
          <w:color w:val="252424"/>
          <w:sz w:val="24"/>
        </w:rPr>
        <w:t xml:space="preserve">The cylinder bundle to be filled shall be the one owned or managed by the filling station;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424"/>
          <w:sz w:val="24"/>
        </w:rPr>
        <w:t xml:space="preserve">1) </w:t>
      </w:r>
      <w:r w:rsidRPr="00DF4F5A">
        <w:rPr>
          <w:rFonts w:ascii="Times New Roman" w:eastAsia="宋体" w:cs="Times New Roman"/>
          <w:color w:val="242424"/>
          <w:sz w:val="24"/>
        </w:rPr>
        <w:tab/>
      </w:r>
      <w:r w:rsidRPr="00DF4F5A">
        <w:rPr>
          <w:rFonts w:ascii="Times New Roman" w:cs="Times New Roman"/>
          <w:color w:val="242424"/>
          <w:sz w:val="24"/>
        </w:rPr>
        <w:t>The color mark on the outer surface of the cylinder in the cylinder bundle shall comply with the regulations of GB/T 7144 and be clear and easy to recognize;</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32222"/>
          <w:sz w:val="24"/>
        </w:rPr>
        <w:t xml:space="preserve">m) </w:t>
      </w:r>
      <w:r w:rsidRPr="00DF4F5A">
        <w:rPr>
          <w:rFonts w:ascii="Times New Roman" w:eastAsia="宋体" w:cs="Times New Roman"/>
          <w:color w:val="232222"/>
          <w:sz w:val="24"/>
        </w:rPr>
        <w:tab/>
      </w:r>
      <w:r w:rsidRPr="00DF4F5A">
        <w:rPr>
          <w:rFonts w:ascii="Times New Roman" w:cs="Times New Roman"/>
          <w:color w:val="232222"/>
          <w:sz w:val="24"/>
        </w:rPr>
        <w:t>For the cylinder bundle filled with oxygen or other strong oxidizing gas, the cylinder body and valve shall not be contaminated with grease or other combustibles. The material of busbar shall be copper pipe or stainless steel seamless steel pipe without titanium;</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22121"/>
          <w:sz w:val="24"/>
        </w:rPr>
        <w:t xml:space="preserve">n) </w:t>
      </w:r>
      <w:r w:rsidRPr="00DF4F5A">
        <w:rPr>
          <w:rFonts w:ascii="Times New Roman" w:eastAsia="宋体" w:cs="Times New Roman"/>
          <w:color w:val="222121"/>
          <w:sz w:val="24"/>
        </w:rPr>
        <w:tab/>
      </w:r>
      <w:r w:rsidRPr="00DF4F5A">
        <w:rPr>
          <w:rFonts w:ascii="Times New Roman" w:cs="Times New Roman"/>
          <w:color w:val="222121"/>
          <w:sz w:val="24"/>
        </w:rPr>
        <w:t xml:space="preserve">The bundling device to be filled with high-pressure liquefied gas shall not be provided with a cylinder valve on its cylinder mouth. The cylinder shall be connected with the busbar by cylinder connectors. The inner diameter of the busbar branch pipe and the connector of the cylinder shall be greater than or equal to the diameter of the cylinder mouth of the cylinder so that the cylinders in the whole bundle form an interconnected whole.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42323"/>
          <w:sz w:val="24"/>
        </w:rPr>
        <w:t xml:space="preserve">5.2 </w:t>
      </w:r>
      <w:r w:rsidRPr="00DF4F5A">
        <w:rPr>
          <w:rFonts w:ascii="Times New Roman" w:eastAsia="宋体" w:cs="Times New Roman"/>
          <w:color w:val="242323"/>
          <w:sz w:val="24"/>
        </w:rPr>
        <w:tab/>
      </w:r>
      <w:r w:rsidRPr="00DF4F5A">
        <w:rPr>
          <w:rFonts w:ascii="Times New Roman" w:cs="Times New Roman"/>
          <w:color w:val="242323"/>
          <w:sz w:val="24"/>
        </w:rPr>
        <w:t xml:space="preserve">Cylinder bundles not meeting the requirements of 5.1 are prohibited from filling.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12020"/>
          <w:sz w:val="24"/>
        </w:rPr>
        <w:t xml:space="preserve">5.3 </w:t>
      </w:r>
      <w:r w:rsidRPr="00DF4F5A">
        <w:rPr>
          <w:rFonts w:ascii="Times New Roman" w:eastAsia="宋体" w:cs="Times New Roman"/>
          <w:color w:val="212020"/>
          <w:sz w:val="24"/>
        </w:rPr>
        <w:tab/>
      </w:r>
      <w:r w:rsidRPr="00DF4F5A">
        <w:rPr>
          <w:rFonts w:ascii="Times New Roman" w:cs="Times New Roman"/>
          <w:color w:val="212020"/>
          <w:sz w:val="24"/>
        </w:rPr>
        <w:t>For the cylinder with color or other marks and the thread at the outlet of the cylinder valve not in conformity with the regulations of the gas, the filling behavior is not allowed, and the cause shall be found out for treatment.</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92828"/>
          <w:sz w:val="24"/>
        </w:rPr>
        <w:t xml:space="preserve">5.4 </w:t>
      </w:r>
      <w:r w:rsidRPr="00DF4F5A">
        <w:rPr>
          <w:rFonts w:ascii="Times New Roman" w:eastAsia="宋体" w:cs="Times New Roman"/>
          <w:color w:val="292828"/>
          <w:sz w:val="24"/>
        </w:rPr>
        <w:tab/>
      </w:r>
      <w:r w:rsidRPr="00DF4F5A">
        <w:rPr>
          <w:rFonts w:ascii="Times New Roman" w:cs="Times New Roman"/>
          <w:color w:val="292828"/>
          <w:sz w:val="24"/>
        </w:rPr>
        <w:t xml:space="preserve">The cylinder bundle newly put into use or inflated for the first time after internal inspection shall be disposed according to regulations before filling, and can be filled only after it is confirmed to be qualified.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52323"/>
          <w:sz w:val="24"/>
        </w:rPr>
        <w:t xml:space="preserve">5.5 </w:t>
      </w:r>
      <w:r w:rsidRPr="00DF4F5A">
        <w:rPr>
          <w:rFonts w:ascii="Times New Roman" w:eastAsia="宋体" w:cs="Times New Roman"/>
          <w:color w:val="252323"/>
          <w:sz w:val="24"/>
        </w:rPr>
        <w:tab/>
      </w:r>
      <w:r w:rsidRPr="00DF4F5A">
        <w:rPr>
          <w:rFonts w:ascii="Times New Roman" w:cs="Times New Roman"/>
          <w:color w:val="252323"/>
          <w:sz w:val="24"/>
        </w:rPr>
        <w:t>In terms of the cylinder bundle to be filled with combustible gas and oxidizing gas, if no residual pressure holding valve or cylinder without residual pressure is installed, it shall b</w:t>
      </w:r>
      <w:r w:rsidR="00440EBD" w:rsidRPr="00DF4F5A">
        <w:rPr>
          <w:rFonts w:ascii="Times New Roman" w:cs="Times New Roman"/>
          <w:color w:val="252323"/>
          <w:sz w:val="24"/>
        </w:rPr>
        <w:t xml:space="preserve">e vacuumized before refilling. </w:t>
      </w:r>
      <w:r w:rsidRPr="00DF4F5A">
        <w:rPr>
          <w:rFonts w:ascii="Times New Roman" w:cs="Times New Roman"/>
          <w:color w:val="252323"/>
          <w:sz w:val="24"/>
        </w:rPr>
        <w:t xml:space="preserve">The gas cylinder bundle to be filled with combustible gas shall be vacuumized to below -80kPa, and the one to be filled with oxidizing gas shall be vacuumized to below -50kPa.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32222"/>
          <w:sz w:val="24"/>
        </w:rPr>
        <w:lastRenderedPageBreak/>
        <w:t xml:space="preserve">5.6 </w:t>
      </w:r>
      <w:r w:rsidRPr="00DF4F5A">
        <w:rPr>
          <w:rFonts w:ascii="Times New Roman" w:eastAsia="宋体" w:cs="Times New Roman"/>
          <w:color w:val="232222"/>
          <w:sz w:val="24"/>
        </w:rPr>
        <w:tab/>
      </w:r>
      <w:r w:rsidRPr="00DF4F5A">
        <w:rPr>
          <w:rFonts w:ascii="Times New Roman" w:cs="Times New Roman"/>
          <w:color w:val="232222"/>
          <w:sz w:val="24"/>
        </w:rPr>
        <w:t xml:space="preserve">During the validity period of the inspection, if the cylinder bundle is found with major defects in the visual inspection, it shall be sent to the inspection agency first for technical inspection and evaluation according to the regulations, and it can be reused only after passing the inspection.  The cylinder bundle which has been in storage and out of service for more than one inspection cycle shall be inspected before use.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32222"/>
          <w:sz w:val="24"/>
        </w:rPr>
        <w:t xml:space="preserve">5.7 </w:t>
      </w:r>
      <w:r w:rsidRPr="00DF4F5A">
        <w:rPr>
          <w:rFonts w:ascii="Times New Roman" w:eastAsia="宋体" w:cs="Times New Roman"/>
          <w:color w:val="232222"/>
          <w:sz w:val="24"/>
        </w:rPr>
        <w:tab/>
      </w:r>
      <w:r w:rsidRPr="00DF4F5A">
        <w:rPr>
          <w:rFonts w:ascii="Times New Roman" w:cs="Times New Roman"/>
          <w:color w:val="232222"/>
          <w:sz w:val="24"/>
        </w:rPr>
        <w:t xml:space="preserve">When the cylinder bundle imported from abroad is required to be filled in China, it shall be approved by the Special Equipment Safety Supervision and Management Department and pass the inspection of Inspection Agencies of Gas Cylinders before filling.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01E1E"/>
          <w:sz w:val="24"/>
        </w:rPr>
        <w:t xml:space="preserve">5.8 </w:t>
      </w:r>
      <w:r w:rsidRPr="00DF4F5A">
        <w:rPr>
          <w:rFonts w:ascii="Times New Roman" w:eastAsia="宋体" w:cs="Times New Roman"/>
          <w:color w:val="201E1E"/>
          <w:sz w:val="24"/>
        </w:rPr>
        <w:tab/>
      </w:r>
      <w:r w:rsidRPr="00DF4F5A">
        <w:rPr>
          <w:rFonts w:ascii="Times New Roman" w:cs="Times New Roman"/>
          <w:color w:val="201E1E"/>
          <w:sz w:val="24"/>
        </w:rPr>
        <w:t xml:space="preserve">The unqualified cylinder bundle (including the one to be treated) shall be isolated from the qualified ones and marked clearly to prevent misuse.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b/>
          <w:snapToGrid w:val="0"/>
          <w:color w:val="000000"/>
          <w:sz w:val="24"/>
        </w:rPr>
      </w:pPr>
      <w:r w:rsidRPr="00DF4F5A">
        <w:rPr>
          <w:rFonts w:ascii="Times New Roman" w:cs="Times New Roman"/>
          <w:b/>
          <w:color w:val="080505"/>
          <w:sz w:val="24"/>
        </w:rPr>
        <w:t xml:space="preserve">6 </w:t>
      </w:r>
      <w:r w:rsidRPr="00DF4F5A">
        <w:rPr>
          <w:rFonts w:ascii="Times New Roman" w:eastAsia="宋体" w:cs="Times New Roman"/>
          <w:b/>
          <w:color w:val="080505"/>
          <w:sz w:val="24"/>
        </w:rPr>
        <w:tab/>
      </w:r>
      <w:r w:rsidRPr="00DF4F5A">
        <w:rPr>
          <w:rFonts w:ascii="Times New Roman" w:cs="Times New Roman"/>
          <w:b/>
          <w:color w:val="080505"/>
          <w:sz w:val="24"/>
        </w:rPr>
        <w:t>Filling of compressed gas and gas-gas gas mixture gas cylinder bundle</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52424"/>
          <w:sz w:val="24"/>
        </w:rPr>
        <w:t xml:space="preserve">6.1 </w:t>
      </w:r>
      <w:r w:rsidRPr="00DF4F5A">
        <w:rPr>
          <w:rFonts w:ascii="Times New Roman" w:eastAsia="宋体" w:cs="Times New Roman"/>
          <w:color w:val="252424"/>
          <w:sz w:val="24"/>
        </w:rPr>
        <w:tab/>
      </w:r>
      <w:r w:rsidRPr="00DF4F5A">
        <w:rPr>
          <w:rFonts w:ascii="Times New Roman" w:cs="Times New Roman"/>
          <w:color w:val="252424"/>
          <w:sz w:val="24"/>
        </w:rPr>
        <w:t xml:space="preserve">The threaded connection shall be adopted for the connection between the filling gas piping of the cylinder bundle and the inflation and deflation valve, and clamp connection for filling is prohibited.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52424"/>
          <w:sz w:val="24"/>
        </w:rPr>
        <w:t xml:space="preserve">6.2 </w:t>
      </w:r>
      <w:r w:rsidRPr="00DF4F5A">
        <w:rPr>
          <w:rFonts w:ascii="Times New Roman" w:eastAsia="宋体" w:cs="Times New Roman"/>
          <w:color w:val="252424"/>
          <w:sz w:val="24"/>
        </w:rPr>
        <w:tab/>
      </w:r>
      <w:r w:rsidRPr="00DF4F5A">
        <w:rPr>
          <w:rFonts w:ascii="Times New Roman" w:cs="Times New Roman"/>
          <w:color w:val="252424"/>
          <w:sz w:val="24"/>
        </w:rPr>
        <w:t>Pointer pressure gauges are adopted for filling systems of compressed gas cylinder bundles, with an accuracy of not less than level 1.6 and a dial dia</w:t>
      </w:r>
      <w:r w:rsidR="00440EBD" w:rsidRPr="00DF4F5A">
        <w:rPr>
          <w:rFonts w:ascii="Times New Roman" w:cs="Times New Roman"/>
          <w:color w:val="252424"/>
          <w:sz w:val="24"/>
        </w:rPr>
        <w:t xml:space="preserve">meter of not less than 100 mm. </w:t>
      </w:r>
      <w:r w:rsidRPr="00DF4F5A">
        <w:rPr>
          <w:rFonts w:ascii="Times New Roman" w:cs="Times New Roman"/>
          <w:color w:val="252424"/>
          <w:sz w:val="24"/>
        </w:rPr>
        <w:t>The accuracy of the pressure gauge used in the filling system of the gas mixture gas cylinder bundle shall not be less than level 0.4, and the dial diameter shall not be less than 150 mm</w:t>
      </w:r>
      <w:r w:rsidR="00440EBD" w:rsidRPr="00DF4F5A">
        <w:rPr>
          <w:rFonts w:ascii="Times New Roman" w:cs="Times New Roman"/>
          <w:color w:val="252424"/>
          <w:sz w:val="24"/>
        </w:rPr>
        <w:t xml:space="preserve">. </w:t>
      </w:r>
      <w:r w:rsidRPr="00DF4F5A">
        <w:rPr>
          <w:rFonts w:ascii="Times New Roman" w:cs="Times New Roman"/>
          <w:color w:val="252424"/>
          <w:sz w:val="24"/>
        </w:rPr>
        <w:t xml:space="preserve">Pressure gauges for the filling system shall be checked in time according to relevant regulations.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32222"/>
          <w:sz w:val="24"/>
        </w:rPr>
        <w:t xml:space="preserve">6.3 </w:t>
      </w:r>
      <w:r w:rsidRPr="00DF4F5A">
        <w:rPr>
          <w:rFonts w:ascii="Times New Roman" w:eastAsia="宋体" w:cs="Times New Roman"/>
          <w:color w:val="232222"/>
          <w:sz w:val="24"/>
        </w:rPr>
        <w:tab/>
      </w:r>
      <w:r w:rsidRPr="00DF4F5A">
        <w:rPr>
          <w:rFonts w:ascii="Times New Roman" w:cs="Times New Roman"/>
          <w:color w:val="232222"/>
          <w:sz w:val="24"/>
        </w:rPr>
        <w:t>The impurity content in the gas to be filled shall conform to the requirements of the corresponding gas standards, otherwise filling is prohibited.</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32222"/>
          <w:sz w:val="24"/>
        </w:rPr>
        <w:t xml:space="preserve">6.4 </w:t>
      </w:r>
      <w:r w:rsidRPr="00DF4F5A">
        <w:rPr>
          <w:rFonts w:ascii="Times New Roman" w:eastAsia="宋体" w:cs="Times New Roman"/>
          <w:color w:val="232222"/>
          <w:sz w:val="24"/>
        </w:rPr>
        <w:tab/>
      </w:r>
      <w:r w:rsidRPr="00DF4F5A">
        <w:rPr>
          <w:rFonts w:ascii="Times New Roman" w:cs="Times New Roman"/>
          <w:color w:val="232222"/>
          <w:sz w:val="24"/>
        </w:rPr>
        <w:t xml:space="preserve">When filling the gas into the cylinder bundle, the following regulations shall be strictly observed: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72525"/>
          <w:sz w:val="24"/>
        </w:rPr>
        <w:t xml:space="preserve">a) </w:t>
      </w:r>
      <w:r w:rsidRPr="00DF4F5A">
        <w:rPr>
          <w:rFonts w:ascii="Times New Roman" w:eastAsia="宋体" w:cs="Times New Roman"/>
          <w:color w:val="272525"/>
          <w:sz w:val="24"/>
        </w:rPr>
        <w:tab/>
      </w:r>
      <w:r w:rsidRPr="00DF4F5A">
        <w:rPr>
          <w:rFonts w:ascii="Times New Roman" w:cs="Times New Roman"/>
          <w:color w:val="272525"/>
          <w:sz w:val="24"/>
        </w:rPr>
        <w:t xml:space="preserve">Checking and confirming that the cylinder bundle is qualified before inflation (records shall be kept);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323"/>
          <w:sz w:val="24"/>
        </w:rPr>
        <w:t xml:space="preserve">b) </w:t>
      </w:r>
      <w:r w:rsidRPr="00DF4F5A">
        <w:rPr>
          <w:rFonts w:ascii="Times New Roman" w:eastAsia="宋体" w:cs="Times New Roman"/>
          <w:color w:val="242323"/>
          <w:sz w:val="24"/>
        </w:rPr>
        <w:tab/>
      </w:r>
      <w:r w:rsidRPr="00DF4F5A">
        <w:rPr>
          <w:rFonts w:ascii="Times New Roman" w:cs="Times New Roman"/>
          <w:color w:val="242323"/>
          <w:sz w:val="24"/>
        </w:rPr>
        <w:t xml:space="preserve">When filling with the anti-misloading joint, carefully checking that the thread of the air outlet of the inflation and deflation valve is consistent with the thread type specified by the filled gas, and all parts of the anti-misloading joint shall be flexible and easy to use;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424"/>
          <w:sz w:val="24"/>
        </w:rPr>
        <w:t xml:space="preserve">c) </w:t>
      </w:r>
      <w:r w:rsidRPr="00DF4F5A">
        <w:rPr>
          <w:rFonts w:ascii="Times New Roman" w:eastAsia="宋体" w:cs="Times New Roman"/>
          <w:color w:val="242424"/>
          <w:sz w:val="24"/>
        </w:rPr>
        <w:tab/>
      </w:r>
      <w:r w:rsidRPr="00DF4F5A">
        <w:rPr>
          <w:rFonts w:ascii="Times New Roman" w:cs="Times New Roman"/>
          <w:color w:val="242424"/>
          <w:sz w:val="24"/>
        </w:rPr>
        <w:t xml:space="preserve">The operation of opening the inflation and deflation valve and cylinder valve shall be gently, and attention shall be paid to monitor the abnormal sound in the cylinder;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323"/>
          <w:sz w:val="24"/>
        </w:rPr>
        <w:t xml:space="preserve">d) </w:t>
      </w:r>
      <w:r w:rsidRPr="00DF4F5A">
        <w:rPr>
          <w:rFonts w:ascii="Times New Roman" w:eastAsia="宋体" w:cs="Times New Roman"/>
          <w:color w:val="242323"/>
          <w:sz w:val="24"/>
        </w:rPr>
        <w:tab/>
      </w:r>
      <w:r w:rsidRPr="00DF4F5A">
        <w:rPr>
          <w:rFonts w:ascii="Times New Roman" w:cs="Times New Roman"/>
          <w:color w:val="242323"/>
          <w:sz w:val="24"/>
        </w:rPr>
        <w:t>It is prohibited to knock the inflation and deflation valves, cylinder valves and pipelines with wrenches and other metal appliances;</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22121"/>
          <w:sz w:val="24"/>
        </w:rPr>
        <w:t xml:space="preserve">e) </w:t>
      </w:r>
      <w:r w:rsidRPr="00DF4F5A">
        <w:rPr>
          <w:rFonts w:ascii="Times New Roman" w:eastAsia="宋体" w:cs="Times New Roman"/>
          <w:color w:val="222121"/>
          <w:sz w:val="24"/>
        </w:rPr>
        <w:tab/>
      </w:r>
      <w:r w:rsidRPr="00DF4F5A">
        <w:rPr>
          <w:rFonts w:ascii="Times New Roman" w:cs="Times New Roman"/>
          <w:color w:val="222121"/>
          <w:sz w:val="24"/>
        </w:rPr>
        <w:t>The temperature of the cylinder body, which should be approximately the same, shall be checked one by one before the gas pressure in the cylinder reaches 7MPa. The inflation and deflation valves, the cylinder valves and the connecting parts shall be checked one by one and in good sealing condition before the gas pressure in the cylinder reaches 10MPa. In case of any abnormality found, properly treatment shall be carried out in time;</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82828"/>
          <w:sz w:val="24"/>
        </w:rPr>
        <w:t>f</w:t>
      </w:r>
      <w:r w:rsidRPr="00DF4F5A">
        <w:rPr>
          <w:rFonts w:ascii="Times New Roman" w:cs="Times New Roman"/>
          <w:color w:val="222121"/>
          <w:sz w:val="24"/>
        </w:rPr>
        <w:t xml:space="preserve">) </w:t>
      </w:r>
      <w:r w:rsidRPr="00DF4F5A">
        <w:rPr>
          <w:rFonts w:ascii="Times New Roman" w:eastAsia="宋体" w:cs="Times New Roman"/>
          <w:color w:val="222121"/>
          <w:sz w:val="24"/>
        </w:rPr>
        <w:tab/>
      </w:r>
      <w:r w:rsidRPr="00DF4F5A">
        <w:rPr>
          <w:rFonts w:ascii="Times New Roman" w:cs="Times New Roman"/>
          <w:color w:val="282828"/>
          <w:sz w:val="24"/>
        </w:rPr>
        <w:t>The filling flow of cylinders shall not be greater than 8m3/h (under standard state);</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52524"/>
          <w:sz w:val="24"/>
        </w:rPr>
        <w:t xml:space="preserve">g) </w:t>
      </w:r>
      <w:r w:rsidRPr="00DF4F5A">
        <w:rPr>
          <w:rFonts w:ascii="Times New Roman" w:eastAsia="宋体" w:cs="Times New Roman"/>
          <w:color w:val="252524"/>
          <w:sz w:val="24"/>
        </w:rPr>
        <w:tab/>
      </w:r>
      <w:r w:rsidRPr="00DF4F5A">
        <w:rPr>
          <w:rFonts w:ascii="Times New Roman" w:cs="Times New Roman"/>
          <w:color w:val="252524"/>
          <w:sz w:val="24"/>
        </w:rPr>
        <w:t>Inserting the cylinder bundle for filling during the filling process is strictly prohibited;</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22121"/>
          <w:sz w:val="24"/>
        </w:rPr>
        <w:t xml:space="preserve">h) </w:t>
      </w:r>
      <w:r w:rsidRPr="00DF4F5A">
        <w:rPr>
          <w:rFonts w:ascii="Times New Roman" w:eastAsia="宋体" w:cs="Times New Roman"/>
          <w:color w:val="222121"/>
          <w:sz w:val="24"/>
        </w:rPr>
        <w:tab/>
      </w:r>
      <w:r w:rsidRPr="00DF4F5A">
        <w:rPr>
          <w:rFonts w:ascii="Times New Roman" w:cs="Times New Roman"/>
          <w:color w:val="222121"/>
          <w:sz w:val="24"/>
        </w:rPr>
        <w:t xml:space="preserve">When filling all kinds of incompatible raw gases for gas mixture gas cylinder bundle, sufficient safety distance and isolation measures shall be provided;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323"/>
          <w:sz w:val="24"/>
        </w:rPr>
        <w:lastRenderedPageBreak/>
        <w:t xml:space="preserve">i) </w:t>
      </w:r>
      <w:r w:rsidRPr="00DF4F5A">
        <w:rPr>
          <w:rFonts w:ascii="Times New Roman" w:eastAsia="宋体" w:cs="Times New Roman"/>
          <w:color w:val="242323"/>
          <w:sz w:val="24"/>
        </w:rPr>
        <w:tab/>
      </w:r>
      <w:r w:rsidRPr="00DF4F5A">
        <w:rPr>
          <w:rFonts w:ascii="Times New Roman" w:cs="Times New Roman"/>
          <w:color w:val="242323"/>
          <w:sz w:val="24"/>
        </w:rPr>
        <w:t>The gas mixture to be prepared shall be checked for safety before filling the gas mixture gas cylinder bundle;</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52424"/>
          <w:sz w:val="24"/>
        </w:rPr>
        <w:t xml:space="preserve">j) </w:t>
      </w:r>
      <w:r w:rsidRPr="00DF4F5A">
        <w:rPr>
          <w:rFonts w:ascii="Times New Roman" w:eastAsia="宋体" w:cs="Times New Roman"/>
          <w:color w:val="252424"/>
          <w:sz w:val="24"/>
        </w:rPr>
        <w:tab/>
      </w:r>
      <w:r w:rsidRPr="00DF4F5A">
        <w:rPr>
          <w:rFonts w:ascii="Times New Roman" w:cs="Times New Roman"/>
          <w:color w:val="252424"/>
          <w:sz w:val="24"/>
        </w:rPr>
        <w:t>When filling the gas mixture gas cylinder bundle, the gases shall be successively filled in from low to high concentration components. During the filling process, the pressure in the filling bar shall not be lower than the pressure in the cylinder. When it approaches the required pressure, the total pressure shall rise slowly;</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52424"/>
          <w:sz w:val="24"/>
        </w:rPr>
        <w:t xml:space="preserve">k) </w:t>
      </w:r>
      <w:r w:rsidRPr="00DF4F5A">
        <w:rPr>
          <w:rFonts w:ascii="Times New Roman" w:eastAsia="宋体" w:cs="Times New Roman"/>
          <w:color w:val="252424"/>
          <w:sz w:val="24"/>
        </w:rPr>
        <w:tab/>
      </w:r>
      <w:r w:rsidRPr="00DF4F5A">
        <w:rPr>
          <w:rFonts w:ascii="Times New Roman" w:cs="Times New Roman"/>
          <w:color w:val="252424"/>
          <w:sz w:val="24"/>
        </w:rPr>
        <w:t xml:space="preserve">When filling the gas mixture gas cylinder bundle, combustible gas, oxidizing gas, acid gas, and alkaline gas shall not be filled in the same filling system;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72525"/>
          <w:sz w:val="24"/>
        </w:rPr>
        <w:t xml:space="preserve">1) </w:t>
      </w:r>
      <w:r w:rsidRPr="00DF4F5A">
        <w:rPr>
          <w:rFonts w:ascii="Times New Roman" w:eastAsia="宋体" w:cs="Times New Roman"/>
          <w:color w:val="272525"/>
          <w:sz w:val="24"/>
        </w:rPr>
        <w:tab/>
      </w:r>
      <w:r w:rsidRPr="00DF4F5A">
        <w:rPr>
          <w:rFonts w:ascii="Times New Roman" w:cs="Times New Roman"/>
          <w:color w:val="272525"/>
          <w:sz w:val="24"/>
        </w:rPr>
        <w:t xml:space="preserve">When filling the gas mixture gas cylinder bundle, the filling system shall be provided with vent line to facilitate any residual gas vent in a safe way. The vent line shall be installed in such a way as to avoid any reaction between incompatible products, and shall be independent and equipped with an inert gas replacement device, and its joint form shall meet the provisions of GB/T 15383;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52525"/>
          <w:sz w:val="24"/>
        </w:rPr>
        <w:t xml:space="preserve">m) </w:t>
      </w:r>
      <w:r w:rsidRPr="00DF4F5A">
        <w:rPr>
          <w:rFonts w:ascii="Times New Roman" w:eastAsia="宋体" w:cs="Times New Roman"/>
          <w:color w:val="252525"/>
          <w:sz w:val="24"/>
        </w:rPr>
        <w:tab/>
      </w:r>
      <w:r w:rsidRPr="00DF4F5A">
        <w:rPr>
          <w:rFonts w:ascii="Times New Roman" w:cs="Times New Roman"/>
          <w:color w:val="252525"/>
          <w:sz w:val="24"/>
        </w:rPr>
        <w:t>After the gas mixture gas cylinder bundle is filled, making ensure gases are uniformly mixed before shipments.</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22121"/>
          <w:sz w:val="24"/>
        </w:rPr>
        <w:t xml:space="preserve">6.5 </w:t>
      </w:r>
      <w:r w:rsidRPr="00DF4F5A">
        <w:rPr>
          <w:rFonts w:ascii="Times New Roman" w:eastAsia="宋体" w:cs="Times New Roman"/>
          <w:color w:val="222121"/>
          <w:sz w:val="24"/>
        </w:rPr>
        <w:tab/>
      </w:r>
      <w:r w:rsidRPr="00DF4F5A">
        <w:rPr>
          <w:rFonts w:ascii="Times New Roman" w:cs="Times New Roman"/>
          <w:color w:val="222121"/>
          <w:sz w:val="24"/>
        </w:rPr>
        <w:t>The filling quantity of the cylinder bundle shall be strictly controlled to ensure that the gas pressure in the cylinder will not exceed the allowable pressure of the cylinder at the maximum service temperature.</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42323"/>
          <w:sz w:val="24"/>
        </w:rPr>
        <w:t xml:space="preserve">6.6 </w:t>
      </w:r>
      <w:r w:rsidRPr="00DF4F5A">
        <w:rPr>
          <w:rFonts w:ascii="Times New Roman" w:eastAsia="宋体" w:cs="Times New Roman"/>
          <w:color w:val="242323"/>
          <w:sz w:val="24"/>
        </w:rPr>
        <w:tab/>
      </w:r>
      <w:r w:rsidRPr="00DF4F5A">
        <w:rPr>
          <w:rFonts w:ascii="Times New Roman" w:cs="Times New Roman"/>
          <w:color w:val="242323"/>
          <w:sz w:val="24"/>
        </w:rPr>
        <w:t>Regarding the various common compressed gas and gas mixture filled by domestic cylinder bundle, the filling pressure (gauge pressure) shall meet the filling requirements specified in GB/T 14194.</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42121"/>
          <w:sz w:val="24"/>
        </w:rPr>
        <w:t xml:space="preserve">6.7 </w:t>
      </w:r>
      <w:r w:rsidRPr="00DF4F5A">
        <w:rPr>
          <w:rFonts w:ascii="Times New Roman" w:eastAsia="宋体" w:cs="Times New Roman"/>
          <w:color w:val="242121"/>
          <w:sz w:val="24"/>
        </w:rPr>
        <w:tab/>
      </w:r>
      <w:r w:rsidRPr="00DF4F5A">
        <w:rPr>
          <w:rFonts w:ascii="Times New Roman" w:cs="Times New Roman"/>
          <w:color w:val="242121"/>
          <w:sz w:val="24"/>
        </w:rPr>
        <w:t>During the filling process of the cylinder bundle after vaporization of cryogenic liquid gases, the following provisions shall also be observed:</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323"/>
          <w:sz w:val="24"/>
        </w:rPr>
        <w:t xml:space="preserve">a) </w:t>
      </w:r>
      <w:r w:rsidRPr="00DF4F5A">
        <w:rPr>
          <w:rFonts w:ascii="Times New Roman" w:eastAsia="宋体" w:cs="Times New Roman"/>
          <w:color w:val="242323"/>
          <w:sz w:val="24"/>
        </w:rPr>
        <w:tab/>
      </w:r>
      <w:r w:rsidRPr="00DF4F5A">
        <w:rPr>
          <w:rFonts w:ascii="Times New Roman" w:cs="Times New Roman"/>
          <w:color w:val="242323"/>
          <w:sz w:val="24"/>
        </w:rPr>
        <w:t>The gas outlet temperature of the cryogenic liquid vaporizer shall be checked, and the pressure control device shall be in a normal state before filling;</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22222"/>
          <w:sz w:val="24"/>
        </w:rPr>
        <w:t xml:space="preserve">b) </w:t>
      </w:r>
      <w:r w:rsidRPr="00DF4F5A">
        <w:rPr>
          <w:rFonts w:ascii="Times New Roman" w:eastAsia="宋体" w:cs="Times New Roman"/>
          <w:color w:val="222222"/>
          <w:sz w:val="24"/>
        </w:rPr>
        <w:tab/>
      </w:r>
      <w:r w:rsidRPr="00DF4F5A">
        <w:rPr>
          <w:rFonts w:ascii="Times New Roman" w:cs="Times New Roman"/>
          <w:color w:val="222222"/>
          <w:sz w:val="24"/>
        </w:rPr>
        <w:t>A cold pump process is required before opening the cryogenic liquid pump (the cold pump time shall be determined according to the pump's operating instructions);</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222"/>
          <w:sz w:val="24"/>
        </w:rPr>
        <w:t xml:space="preserve">c) </w:t>
      </w:r>
      <w:r w:rsidRPr="00DF4F5A">
        <w:rPr>
          <w:rFonts w:ascii="Times New Roman" w:eastAsia="宋体" w:cs="Times New Roman"/>
          <w:color w:val="242222"/>
          <w:sz w:val="24"/>
        </w:rPr>
        <w:tab/>
      </w:r>
      <w:r w:rsidRPr="00DF4F5A">
        <w:rPr>
          <w:rFonts w:ascii="Times New Roman" w:cs="Times New Roman"/>
          <w:color w:val="242222"/>
          <w:sz w:val="24"/>
        </w:rPr>
        <w:t>During the filling process of cylinders, no serious icing phenomenon is allowed on the cryogenic liquid vaporizer, and the temperature from the gas outlet of vaporizer to the filling pipel</w:t>
      </w:r>
      <w:r w:rsidR="00440EBD" w:rsidRPr="00DF4F5A">
        <w:rPr>
          <w:rFonts w:ascii="Times New Roman" w:cs="Times New Roman"/>
          <w:color w:val="242222"/>
          <w:sz w:val="24"/>
        </w:rPr>
        <w:t>ine shall not be lower than -30</w:t>
      </w:r>
      <w:r w:rsidRPr="00DF4F5A">
        <w:rPr>
          <w:rFonts w:ascii="宋体" w:eastAsia="宋体" w:hAnsi="宋体" w:cs="宋体" w:hint="eastAsia"/>
          <w:color w:val="242222"/>
          <w:sz w:val="24"/>
        </w:rPr>
        <w:t>℃</w:t>
      </w:r>
      <w:r w:rsidRPr="00DF4F5A">
        <w:rPr>
          <w:rFonts w:ascii="Times New Roman" w:cs="Times New Roman"/>
          <w:color w:val="242222"/>
          <w:sz w:val="24"/>
        </w:rPr>
        <w:t>. In case of the above phenomenon occurs, it shall be handled properly in time;</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52424"/>
          <w:sz w:val="24"/>
        </w:rPr>
        <w:t xml:space="preserve">d) </w:t>
      </w:r>
      <w:r w:rsidRPr="00DF4F5A">
        <w:rPr>
          <w:rFonts w:ascii="Times New Roman" w:eastAsia="宋体" w:cs="Times New Roman"/>
          <w:color w:val="252424"/>
          <w:sz w:val="24"/>
        </w:rPr>
        <w:tab/>
      </w:r>
      <w:r w:rsidRPr="00DF4F5A">
        <w:rPr>
          <w:rFonts w:ascii="Times New Roman" w:cs="Times New Roman"/>
          <w:color w:val="252424"/>
          <w:sz w:val="24"/>
        </w:rPr>
        <w:t xml:space="preserve">In the cryogenic liquid pressurized vaporization cylinder bundle, the discharge volume of the cryogenic pump shall match the heat exchange area and filling quantity of vaporizer, and the filling time of each cylinder shall not be less than 30min. When the outlet temperature of </w:t>
      </w:r>
      <w:r w:rsidR="00FA7BD1" w:rsidRPr="00DF4F5A">
        <w:rPr>
          <w:rFonts w:ascii="Times New Roman" w:cs="Times New Roman"/>
          <w:color w:val="252424"/>
          <w:sz w:val="24"/>
        </w:rPr>
        <w:t>the vaporizer is lower than -30</w:t>
      </w:r>
      <w:r w:rsidRPr="00DF4F5A">
        <w:rPr>
          <w:rFonts w:ascii="宋体" w:eastAsia="宋体" w:hAnsi="宋体" w:cs="宋体" w:hint="eastAsia"/>
          <w:color w:val="252424"/>
          <w:sz w:val="24"/>
        </w:rPr>
        <w:t>℃</w:t>
      </w:r>
      <w:r w:rsidRPr="00DF4F5A">
        <w:rPr>
          <w:rFonts w:ascii="Times New Roman" w:cs="Times New Roman"/>
          <w:color w:val="252424"/>
          <w:sz w:val="24"/>
        </w:rPr>
        <w:t xml:space="preserve"> and overpressure occurs, there shall be a system alarm and knock-off block;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22121"/>
          <w:sz w:val="24"/>
        </w:rPr>
        <w:t xml:space="preserve">e) </w:t>
      </w:r>
      <w:r w:rsidRPr="00DF4F5A">
        <w:rPr>
          <w:rFonts w:ascii="Times New Roman" w:eastAsia="宋体" w:cs="Times New Roman"/>
          <w:color w:val="222121"/>
          <w:sz w:val="24"/>
        </w:rPr>
        <w:tab/>
      </w:r>
      <w:r w:rsidRPr="00DF4F5A">
        <w:rPr>
          <w:rFonts w:ascii="Times New Roman" w:cs="Times New Roman"/>
          <w:color w:val="222121"/>
          <w:sz w:val="24"/>
        </w:rPr>
        <w:t>The operator of cryogenic liquid filling station shall be equipped with reliable anti-freezing PPE.</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b/>
          <w:snapToGrid w:val="0"/>
          <w:color w:val="000000"/>
          <w:sz w:val="24"/>
        </w:rPr>
      </w:pPr>
      <w:r w:rsidRPr="00DF4F5A">
        <w:rPr>
          <w:rFonts w:ascii="Times New Roman" w:cs="Times New Roman"/>
          <w:b/>
          <w:color w:val="070505"/>
          <w:sz w:val="24"/>
        </w:rPr>
        <w:t xml:space="preserve">7 </w:t>
      </w:r>
      <w:r w:rsidRPr="00DF4F5A">
        <w:rPr>
          <w:rFonts w:ascii="Times New Roman" w:eastAsia="宋体" w:cs="Times New Roman"/>
          <w:b/>
          <w:color w:val="070505"/>
          <w:sz w:val="24"/>
        </w:rPr>
        <w:tab/>
      </w:r>
      <w:r w:rsidRPr="00DF4F5A">
        <w:rPr>
          <w:rFonts w:ascii="Times New Roman" w:cs="Times New Roman"/>
          <w:b/>
          <w:color w:val="070505"/>
          <w:sz w:val="24"/>
        </w:rPr>
        <w:t>Filling of high pressure liquefied gas cylinder bundle</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72525"/>
          <w:sz w:val="24"/>
        </w:rPr>
        <w:t xml:space="preserve">7.1 </w:t>
      </w:r>
      <w:r w:rsidRPr="00DF4F5A">
        <w:rPr>
          <w:rFonts w:ascii="Times New Roman" w:eastAsia="宋体" w:cs="Times New Roman"/>
          <w:color w:val="272525"/>
          <w:sz w:val="24"/>
        </w:rPr>
        <w:tab/>
      </w:r>
      <w:r w:rsidRPr="00DF4F5A">
        <w:rPr>
          <w:rFonts w:ascii="Times New Roman" w:cs="Times New Roman"/>
          <w:color w:val="272525"/>
          <w:sz w:val="24"/>
        </w:rPr>
        <w:t xml:space="preserve">The filling weighing apparatus shall be accurate, and its maximum weighing value shall not be more than 3 times of the actual mass of the cylinder bundle (including the mass of the cylinder bundle and the mass of the filling liquid), nor shall it be less than 1.5 times of that.  Weighing apparatus shall be inspected regularly according to relevant regulations and rechecked before daily use.  The weighing apparatus shall be provided with an interlock device for the over-loading alarm of cylinder bundles or automatic cut-off of air source.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42323"/>
          <w:sz w:val="24"/>
        </w:rPr>
        <w:t xml:space="preserve">7.2 </w:t>
      </w:r>
      <w:r w:rsidRPr="00DF4F5A">
        <w:rPr>
          <w:rFonts w:ascii="Times New Roman" w:eastAsia="宋体" w:cs="Times New Roman"/>
          <w:color w:val="242323"/>
          <w:sz w:val="24"/>
        </w:rPr>
        <w:tab/>
      </w:r>
      <w:r w:rsidRPr="00DF4F5A">
        <w:rPr>
          <w:rFonts w:ascii="Times New Roman" w:cs="Times New Roman"/>
          <w:color w:val="242323"/>
          <w:sz w:val="24"/>
        </w:rPr>
        <w:t xml:space="preserve">When filling the high-pressure liquefied gas into the cylinder bundle, the following </w:t>
      </w:r>
      <w:r w:rsidRPr="00DF4F5A">
        <w:rPr>
          <w:rFonts w:ascii="Times New Roman" w:cs="Times New Roman"/>
          <w:color w:val="242323"/>
          <w:sz w:val="24"/>
        </w:rPr>
        <w:lastRenderedPageBreak/>
        <w:t>regulations shall be observed:</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72727"/>
          <w:sz w:val="24"/>
        </w:rPr>
        <w:t xml:space="preserve">a) </w:t>
      </w:r>
      <w:r w:rsidRPr="00DF4F5A">
        <w:rPr>
          <w:rFonts w:ascii="Times New Roman" w:eastAsia="宋体" w:cs="Times New Roman"/>
          <w:color w:val="272727"/>
          <w:sz w:val="24"/>
        </w:rPr>
        <w:tab/>
      </w:r>
      <w:r w:rsidRPr="00DF4F5A">
        <w:rPr>
          <w:rFonts w:ascii="Times New Roman" w:cs="Times New Roman"/>
          <w:color w:val="272727"/>
          <w:sz w:val="24"/>
        </w:rPr>
        <w:t>Checking and confirming that the cylinder bundle is qualified before inflation (records shall be kept);</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32322"/>
          <w:sz w:val="24"/>
        </w:rPr>
        <w:t xml:space="preserve">b) </w:t>
      </w:r>
      <w:r w:rsidRPr="00DF4F5A">
        <w:rPr>
          <w:rFonts w:ascii="Times New Roman" w:eastAsia="宋体" w:cs="Times New Roman"/>
          <w:color w:val="232322"/>
          <w:sz w:val="24"/>
        </w:rPr>
        <w:tab/>
      </w:r>
      <w:r w:rsidRPr="00DF4F5A">
        <w:rPr>
          <w:rFonts w:ascii="Times New Roman" w:cs="Times New Roman"/>
          <w:color w:val="232322"/>
          <w:sz w:val="24"/>
        </w:rPr>
        <w:t>When it is filled by connecting the anti-misloading filling joint, carefully checking and confirming that the thread of the outlet of the inflation and deflation valve is consistent with the screw type specified by the filled gas;</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82727"/>
          <w:sz w:val="24"/>
        </w:rPr>
        <w:t xml:space="preserve">c) </w:t>
      </w:r>
      <w:r w:rsidRPr="00DF4F5A">
        <w:rPr>
          <w:rFonts w:ascii="Times New Roman" w:eastAsia="宋体" w:cs="Times New Roman"/>
          <w:color w:val="282727"/>
          <w:sz w:val="24"/>
        </w:rPr>
        <w:tab/>
      </w:r>
      <w:r w:rsidRPr="00DF4F5A">
        <w:rPr>
          <w:rFonts w:ascii="Times New Roman" w:cs="Times New Roman"/>
          <w:color w:val="282727"/>
          <w:sz w:val="24"/>
        </w:rPr>
        <w:t xml:space="preserve">The operation of opening the inflation and deflation valves shall be gentle, and attention shall be paid to the filling speed and pressure, and to monitor the abnormal sound in the cylinder;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52424"/>
          <w:sz w:val="24"/>
        </w:rPr>
        <w:t xml:space="preserve">d) </w:t>
      </w:r>
      <w:r w:rsidRPr="00DF4F5A">
        <w:rPr>
          <w:rFonts w:ascii="Times New Roman" w:eastAsia="宋体" w:cs="Times New Roman"/>
          <w:color w:val="252424"/>
          <w:sz w:val="24"/>
        </w:rPr>
        <w:tab/>
      </w:r>
      <w:r w:rsidRPr="00DF4F5A">
        <w:rPr>
          <w:rFonts w:ascii="Times New Roman" w:cs="Times New Roman"/>
          <w:color w:val="252424"/>
          <w:sz w:val="24"/>
        </w:rPr>
        <w:t>It is prohibited to knock the inflation and deflation valves and pipelines with wrenches and other metal appliances;</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222"/>
          <w:sz w:val="24"/>
        </w:rPr>
        <w:t xml:space="preserve">e) </w:t>
      </w:r>
      <w:r w:rsidRPr="00DF4F5A">
        <w:rPr>
          <w:rFonts w:ascii="Times New Roman" w:eastAsia="宋体" w:cs="Times New Roman"/>
          <w:color w:val="242222"/>
          <w:sz w:val="24"/>
        </w:rPr>
        <w:tab/>
      </w:r>
      <w:r w:rsidRPr="00DF4F5A">
        <w:rPr>
          <w:rFonts w:ascii="Times New Roman" w:cs="Times New Roman"/>
          <w:color w:val="242222"/>
          <w:sz w:val="24"/>
        </w:rPr>
        <w:t>During the filling process, checking the sealing conditions of all parts of the cylinder bundle at any time, and the temperature of the cylinder body shall be normal. In case of any abnormality found, properly treatment shall be carried out in time.</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42222"/>
          <w:sz w:val="24"/>
        </w:rPr>
        <w:t xml:space="preserve">7.3 </w:t>
      </w:r>
      <w:r w:rsidRPr="00DF4F5A">
        <w:rPr>
          <w:rFonts w:ascii="Times New Roman" w:eastAsia="宋体" w:cs="Times New Roman"/>
          <w:color w:val="242222"/>
          <w:sz w:val="24"/>
        </w:rPr>
        <w:tab/>
      </w:r>
      <w:r w:rsidRPr="00DF4F5A">
        <w:rPr>
          <w:rFonts w:ascii="Times New Roman" w:cs="Times New Roman"/>
          <w:color w:val="242222"/>
          <w:sz w:val="24"/>
        </w:rPr>
        <w:t>The determination of the filling coefficient of high-pressure liquefied gas shall conform to the requirements specified in GB/T 14193.</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42222"/>
          <w:sz w:val="24"/>
        </w:rPr>
        <w:t xml:space="preserve">7.4 </w:t>
      </w:r>
      <w:r w:rsidRPr="00DF4F5A">
        <w:rPr>
          <w:rFonts w:ascii="Times New Roman" w:eastAsia="宋体" w:cs="Times New Roman"/>
          <w:color w:val="242222"/>
          <w:sz w:val="24"/>
        </w:rPr>
        <w:tab/>
      </w:r>
      <w:r w:rsidRPr="00DF4F5A">
        <w:rPr>
          <w:rFonts w:ascii="Times New Roman" w:cs="Times New Roman"/>
          <w:color w:val="242222"/>
          <w:sz w:val="24"/>
        </w:rPr>
        <w:t xml:space="preserve">The filling quantity of high-pressure liquefied gas shall be accurately measured and checked one by one according to the following provisions: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72727"/>
          <w:sz w:val="24"/>
        </w:rPr>
        <w:t xml:space="preserve">a) </w:t>
      </w:r>
      <w:r w:rsidRPr="00DF4F5A">
        <w:rPr>
          <w:rFonts w:ascii="Times New Roman" w:eastAsia="宋体" w:cs="Times New Roman"/>
          <w:color w:val="272727"/>
          <w:sz w:val="24"/>
        </w:rPr>
        <w:tab/>
      </w:r>
      <w:r w:rsidRPr="00DF4F5A">
        <w:rPr>
          <w:rFonts w:ascii="Times New Roman" w:cs="Times New Roman"/>
          <w:color w:val="272727"/>
          <w:sz w:val="24"/>
        </w:rPr>
        <w:t xml:space="preserve">The filling quantity of the cylinder bundle shall not be greater than the calculated value of the product of the total volume of the cylinder and the filling coefficient, nor shall it be greater than the filling quantity specified by the gases of the total volume of the cylinder;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72525"/>
          <w:sz w:val="24"/>
        </w:rPr>
        <w:t xml:space="preserve">b) </w:t>
      </w:r>
      <w:r w:rsidRPr="00DF4F5A">
        <w:rPr>
          <w:rFonts w:ascii="Times New Roman" w:eastAsia="宋体" w:cs="Times New Roman"/>
          <w:color w:val="272525"/>
          <w:sz w:val="24"/>
        </w:rPr>
        <w:tab/>
      </w:r>
      <w:r w:rsidRPr="00DF4F5A">
        <w:rPr>
          <w:rFonts w:ascii="Times New Roman" w:cs="Times New Roman"/>
          <w:color w:val="272525"/>
          <w:sz w:val="24"/>
        </w:rPr>
        <w:t>The filling quantity shall include all the media in the cylinder including the residual gas. In another word, the filling quantity of the cylinder bundle shall be the difference between the actual weight of the cylinder bundle after filling and the empty weight of the cylinder bundle.</w:t>
      </w:r>
    </w:p>
    <w:p w:rsidR="00B250AF" w:rsidRPr="00DF4F5A" w:rsidRDefault="00A144D0">
      <w:pPr>
        <w:kinsoku w:val="0"/>
        <w:overflowPunct w:val="0"/>
        <w:snapToGrid w:val="0"/>
        <w:spacing w:beforeLines="50" w:before="120" w:afterLines="50" w:after="120"/>
        <w:jc w:val="both"/>
        <w:rPr>
          <w:rFonts w:eastAsia="宋体"/>
          <w:snapToGrid w:val="0"/>
          <w:color w:val="000000"/>
          <w:szCs w:val="18"/>
        </w:rPr>
      </w:pPr>
      <w:r w:rsidRPr="00DF4F5A">
        <w:rPr>
          <w:rFonts w:eastAsia="宋体"/>
          <w:color w:val="252424"/>
        </w:rPr>
        <w:t xml:space="preserve">7.5 </w:t>
      </w:r>
      <w:r w:rsidRPr="00DF4F5A">
        <w:rPr>
          <w:rFonts w:eastAsia="宋体"/>
          <w:color w:val="252424"/>
        </w:rPr>
        <w:tab/>
      </w:r>
      <w:r w:rsidRPr="00DF4F5A">
        <w:rPr>
          <w:color w:val="252424"/>
        </w:rPr>
        <w:t xml:space="preserve">The filling quantity of high-pressure liquefied gas shall be strictly controlled. In case of the cylinder is found overfilling, the overfilled liquid shall be discharged properly.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b/>
          <w:snapToGrid w:val="0"/>
          <w:color w:val="000000"/>
          <w:sz w:val="24"/>
        </w:rPr>
      </w:pPr>
      <w:r w:rsidRPr="00DF4F5A">
        <w:rPr>
          <w:rFonts w:ascii="Times New Roman" w:cs="Times New Roman"/>
          <w:b/>
          <w:color w:val="070505"/>
          <w:sz w:val="24"/>
        </w:rPr>
        <w:t xml:space="preserve">8 </w:t>
      </w:r>
      <w:r w:rsidRPr="00DF4F5A">
        <w:rPr>
          <w:rFonts w:ascii="Times New Roman" w:eastAsia="宋体" w:cs="Times New Roman"/>
          <w:b/>
          <w:color w:val="070505"/>
          <w:sz w:val="24"/>
        </w:rPr>
        <w:tab/>
      </w:r>
      <w:r w:rsidRPr="00DF4F5A">
        <w:rPr>
          <w:rFonts w:ascii="Times New Roman" w:cs="Times New Roman"/>
          <w:b/>
          <w:color w:val="070505"/>
          <w:sz w:val="24"/>
        </w:rPr>
        <w:t>Inspection of cylinder bundle after filling</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22121"/>
          <w:sz w:val="24"/>
        </w:rPr>
        <w:t xml:space="preserve">8.1 </w:t>
      </w:r>
      <w:r w:rsidRPr="00DF4F5A">
        <w:rPr>
          <w:rFonts w:ascii="Times New Roman" w:eastAsia="宋体" w:cs="Times New Roman"/>
          <w:color w:val="222121"/>
          <w:sz w:val="24"/>
        </w:rPr>
        <w:tab/>
      </w:r>
      <w:r w:rsidRPr="00DF4F5A">
        <w:rPr>
          <w:rFonts w:ascii="Times New Roman" w:cs="Times New Roman"/>
          <w:color w:val="222121"/>
          <w:sz w:val="24"/>
        </w:rPr>
        <w:t>After filling, the cylinder bundles shall be in the charge of a specially assigned person and inspected one by one. When it does not meet the requirements, it is prohibited to leave the factory, and shall be handled properly.</w:t>
      </w:r>
    </w:p>
    <w:p w:rsidR="00B250AF" w:rsidRPr="00DF4F5A" w:rsidRDefault="00A144D0">
      <w:pPr>
        <w:kinsoku w:val="0"/>
        <w:overflowPunct w:val="0"/>
        <w:snapToGrid w:val="0"/>
        <w:spacing w:beforeLines="50" w:before="120" w:afterLines="50" w:after="120"/>
        <w:jc w:val="both"/>
        <w:rPr>
          <w:rFonts w:eastAsia="宋体"/>
          <w:snapToGrid w:val="0"/>
          <w:color w:val="000000"/>
          <w:szCs w:val="18"/>
        </w:rPr>
      </w:pPr>
      <w:r w:rsidRPr="00DF4F5A">
        <w:rPr>
          <w:rFonts w:eastAsia="宋体"/>
          <w:color w:val="201F1F"/>
        </w:rPr>
        <w:t xml:space="preserve">8.2 </w:t>
      </w:r>
      <w:r w:rsidRPr="00DF4F5A">
        <w:rPr>
          <w:rFonts w:eastAsia="宋体"/>
          <w:color w:val="201F1F"/>
        </w:rPr>
        <w:tab/>
      </w:r>
      <w:r w:rsidRPr="00DF4F5A">
        <w:rPr>
          <w:color w:val="201F1F"/>
        </w:rPr>
        <w:t>The inspection shall at least include the followings:</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72525"/>
          <w:sz w:val="24"/>
        </w:rPr>
        <w:t xml:space="preserve">a) </w:t>
      </w:r>
      <w:r w:rsidRPr="00DF4F5A">
        <w:rPr>
          <w:rFonts w:ascii="Times New Roman" w:eastAsia="宋体" w:cs="Times New Roman"/>
          <w:color w:val="272525"/>
          <w:sz w:val="24"/>
        </w:rPr>
        <w:tab/>
      </w:r>
      <w:r w:rsidRPr="00DF4F5A">
        <w:rPr>
          <w:rFonts w:ascii="Times New Roman" w:cs="Times New Roman"/>
          <w:color w:val="272525"/>
          <w:sz w:val="24"/>
        </w:rPr>
        <w:t xml:space="preserve">The pressure (filling quantity) and mass in the cylinder shall meet the requirements of safety technical specifications and relevant standards;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22121"/>
          <w:sz w:val="24"/>
        </w:rPr>
        <w:t xml:space="preserve">b) </w:t>
      </w:r>
      <w:r w:rsidRPr="00DF4F5A">
        <w:rPr>
          <w:rFonts w:ascii="Times New Roman" w:eastAsia="宋体" w:cs="Times New Roman"/>
          <w:color w:val="222121"/>
          <w:sz w:val="24"/>
        </w:rPr>
        <w:tab/>
      </w:r>
      <w:r w:rsidRPr="00DF4F5A">
        <w:rPr>
          <w:rFonts w:ascii="Times New Roman" w:cs="Times New Roman"/>
          <w:color w:val="222121"/>
          <w:sz w:val="24"/>
        </w:rPr>
        <w:t xml:space="preserve">Busbars, frames, and accessories of the cylinder bundle shall be free from obvious damage, deformation, leakage or other abnormal phenomena;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52525"/>
          <w:sz w:val="24"/>
        </w:rPr>
        <w:t xml:space="preserve">c) </w:t>
      </w:r>
      <w:r w:rsidRPr="00DF4F5A">
        <w:rPr>
          <w:rFonts w:ascii="Times New Roman" w:eastAsia="宋体" w:cs="Times New Roman"/>
          <w:color w:val="252525"/>
          <w:sz w:val="24"/>
        </w:rPr>
        <w:tab/>
      </w:r>
      <w:r w:rsidRPr="00DF4F5A">
        <w:rPr>
          <w:rFonts w:ascii="Times New Roman" w:cs="Times New Roman"/>
          <w:color w:val="252525"/>
          <w:sz w:val="24"/>
        </w:rPr>
        <w:t xml:space="preserve">The cylinder of the cylinder bundle shall be free of serious defects such as bulging, deformation or leakage;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92828"/>
          <w:sz w:val="24"/>
        </w:rPr>
        <w:t xml:space="preserve">d) </w:t>
      </w:r>
      <w:r w:rsidRPr="00DF4F5A">
        <w:rPr>
          <w:rFonts w:ascii="Times New Roman" w:eastAsia="宋体" w:cs="Times New Roman"/>
          <w:color w:val="292828"/>
          <w:sz w:val="24"/>
        </w:rPr>
        <w:tab/>
      </w:r>
      <w:r w:rsidRPr="00DF4F5A">
        <w:rPr>
          <w:rFonts w:ascii="Times New Roman" w:cs="Times New Roman"/>
          <w:color w:val="292828"/>
          <w:sz w:val="24"/>
        </w:rPr>
        <w:t>The filling label and warning label of the cylinder bundle shall be complete.</w:t>
      </w:r>
    </w:p>
    <w:p w:rsidR="00B250AF" w:rsidRPr="00DF4F5A" w:rsidRDefault="00A144D0">
      <w:pPr>
        <w:kinsoku w:val="0"/>
        <w:overflowPunct w:val="0"/>
        <w:snapToGrid w:val="0"/>
        <w:spacing w:beforeLines="50" w:before="120" w:afterLines="50" w:after="120"/>
        <w:jc w:val="both"/>
        <w:rPr>
          <w:rFonts w:eastAsia="宋体"/>
          <w:b/>
          <w:snapToGrid w:val="0"/>
          <w:color w:val="000000"/>
          <w:szCs w:val="18"/>
        </w:rPr>
      </w:pPr>
      <w:r w:rsidRPr="00DF4F5A">
        <w:rPr>
          <w:rFonts w:eastAsia="宋体"/>
          <w:b/>
          <w:color w:val="080505"/>
        </w:rPr>
        <w:t xml:space="preserve">9 </w:t>
      </w:r>
      <w:r w:rsidRPr="00DF4F5A">
        <w:rPr>
          <w:rFonts w:eastAsia="宋体"/>
          <w:b/>
          <w:color w:val="080505"/>
        </w:rPr>
        <w:tab/>
      </w:r>
      <w:r w:rsidRPr="00DF4F5A">
        <w:rPr>
          <w:b/>
          <w:color w:val="080505"/>
        </w:rPr>
        <w:t>Filling record</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92828"/>
          <w:sz w:val="24"/>
        </w:rPr>
        <w:t xml:space="preserve">9.1 </w:t>
      </w:r>
      <w:r w:rsidRPr="00DF4F5A">
        <w:rPr>
          <w:rFonts w:ascii="Times New Roman" w:eastAsia="宋体" w:cs="Times New Roman"/>
          <w:color w:val="292828"/>
          <w:sz w:val="24"/>
        </w:rPr>
        <w:tab/>
      </w:r>
      <w:r w:rsidRPr="00DF4F5A">
        <w:rPr>
          <w:rFonts w:ascii="Times New Roman" w:cs="Times New Roman"/>
          <w:color w:val="292828"/>
          <w:sz w:val="24"/>
        </w:rPr>
        <w:t xml:space="preserve">The filling unit shall designate a specially assigned person to fill in the filling records of the cylinder bundle. Records of three types of cylinder bundles are as follows: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72727"/>
          <w:sz w:val="24"/>
        </w:rPr>
        <w:lastRenderedPageBreak/>
        <w:t xml:space="preserve">a) </w:t>
      </w:r>
      <w:r w:rsidRPr="00DF4F5A">
        <w:rPr>
          <w:rFonts w:ascii="Times New Roman" w:eastAsia="宋体" w:cs="Times New Roman"/>
          <w:color w:val="272727"/>
          <w:sz w:val="24"/>
        </w:rPr>
        <w:tab/>
      </w:r>
      <w:r w:rsidRPr="00DF4F5A">
        <w:rPr>
          <w:rFonts w:ascii="Times New Roman" w:cs="Times New Roman"/>
          <w:color w:val="272727"/>
          <w:sz w:val="24"/>
        </w:rPr>
        <w:t>The records of the compressed gas cylinder bundle shall at least include: filling date, number of the cylinder bundle, filling medium, starting and ending time of filling, room temperature, nominal working pressure, filling pressure, filling temperature, the effective volume of the cylinder bundle, any abnormality found or not, filling and inspector.</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42323"/>
          <w:sz w:val="24"/>
        </w:rPr>
        <w:t xml:space="preserve">b) </w:t>
      </w:r>
      <w:r w:rsidRPr="00DF4F5A">
        <w:rPr>
          <w:rFonts w:ascii="Times New Roman" w:eastAsia="宋体" w:cs="Times New Roman"/>
          <w:color w:val="242323"/>
          <w:sz w:val="24"/>
        </w:rPr>
        <w:tab/>
      </w:r>
      <w:r w:rsidRPr="00DF4F5A">
        <w:rPr>
          <w:rFonts w:ascii="Times New Roman" w:cs="Times New Roman"/>
          <w:color w:val="242323"/>
          <w:sz w:val="24"/>
        </w:rPr>
        <w:t xml:space="preserve">The record contents of the gas mixture gas cylinder bundle shall at least include: filling date, number of the cylinder bundle, product name, filling medium, the content of each component, starting and ending pressure of each component filling, nominal working pressure, starting and ending time of filling, room temperature, the effective volume of the cylinder bundle, any abnormality found or not, filling and inspector. </w:t>
      </w:r>
    </w:p>
    <w:p w:rsidR="00B250AF" w:rsidRPr="00DF4F5A" w:rsidRDefault="00A144D0">
      <w:pPr>
        <w:pStyle w:val="a3"/>
        <w:kinsoku w:val="0"/>
        <w:overflowPunct w:val="0"/>
        <w:snapToGrid w:val="0"/>
        <w:spacing w:beforeLines="50" w:before="120" w:afterLines="50" w:after="120"/>
        <w:ind w:leftChars="200" w:left="960" w:hanging="480"/>
        <w:jc w:val="both"/>
        <w:rPr>
          <w:rFonts w:ascii="Times New Roman" w:eastAsia="宋体" w:cs="Times New Roman"/>
          <w:snapToGrid w:val="0"/>
          <w:color w:val="000000"/>
          <w:sz w:val="24"/>
        </w:rPr>
      </w:pPr>
      <w:r w:rsidRPr="00DF4F5A">
        <w:rPr>
          <w:rFonts w:ascii="Times New Roman" w:cs="Times New Roman"/>
          <w:color w:val="292827"/>
          <w:sz w:val="24"/>
        </w:rPr>
        <w:t xml:space="preserve">c) </w:t>
      </w:r>
      <w:r w:rsidRPr="00DF4F5A">
        <w:rPr>
          <w:rFonts w:ascii="Times New Roman" w:eastAsia="宋体" w:cs="Times New Roman"/>
          <w:color w:val="292827"/>
          <w:sz w:val="24"/>
        </w:rPr>
        <w:tab/>
      </w:r>
      <w:r w:rsidRPr="00DF4F5A">
        <w:rPr>
          <w:rFonts w:ascii="Times New Roman" w:cs="Times New Roman"/>
          <w:color w:val="292827"/>
          <w:sz w:val="24"/>
        </w:rPr>
        <w:t xml:space="preserve"> The records of high pressure liquefied gas cylinder bundle shall at least include: filling date, number of cylinder bundle, filling medium, filling time, room temperature, the effective volume of cylinder bundle, net weight of cylinder bundle, the total weight of cylinder bundle after filling, the actual filling weight of cylinder bundle, the total weight of cylinder bundle after filling, any abnormality found or not, filling and inspector. </w:t>
      </w:r>
    </w:p>
    <w:p w:rsidR="00B250AF" w:rsidRPr="00DF4F5A" w:rsidRDefault="00A144D0">
      <w:pPr>
        <w:kinsoku w:val="0"/>
        <w:overflowPunct w:val="0"/>
        <w:snapToGrid w:val="0"/>
        <w:spacing w:beforeLines="50" w:before="120" w:afterLines="50" w:after="120"/>
        <w:jc w:val="both"/>
        <w:rPr>
          <w:rFonts w:eastAsia="宋体"/>
          <w:snapToGrid w:val="0"/>
          <w:color w:val="000000"/>
          <w:szCs w:val="18"/>
        </w:rPr>
      </w:pPr>
      <w:r w:rsidRPr="00DF4F5A">
        <w:rPr>
          <w:rFonts w:eastAsia="宋体"/>
          <w:color w:val="232222"/>
        </w:rPr>
        <w:t xml:space="preserve">9.2 </w:t>
      </w:r>
      <w:r w:rsidRPr="00DF4F5A">
        <w:rPr>
          <w:rFonts w:eastAsia="宋体"/>
          <w:color w:val="232222"/>
        </w:rPr>
        <w:tab/>
      </w:r>
      <w:r w:rsidRPr="00DF4F5A">
        <w:rPr>
          <w:color w:val="232222"/>
        </w:rPr>
        <w:t xml:space="preserve">The filling unit shall keep the filling records in a proper manner, which shall be kept at least for 1 year. </w:t>
      </w:r>
    </w:p>
    <w:p w:rsidR="00B250AF" w:rsidRPr="00DF4F5A" w:rsidRDefault="00A144D0">
      <w:pPr>
        <w:kinsoku w:val="0"/>
        <w:overflowPunct w:val="0"/>
        <w:snapToGrid w:val="0"/>
        <w:spacing w:beforeLines="50" w:before="120" w:afterLines="50" w:after="120"/>
        <w:jc w:val="both"/>
        <w:rPr>
          <w:rFonts w:eastAsia="宋体"/>
          <w:b/>
          <w:snapToGrid w:val="0"/>
          <w:color w:val="000000"/>
          <w:szCs w:val="18"/>
        </w:rPr>
      </w:pPr>
      <w:r w:rsidRPr="00DF4F5A">
        <w:rPr>
          <w:rFonts w:eastAsia="宋体"/>
          <w:b/>
          <w:color w:val="070404"/>
        </w:rPr>
        <w:t xml:space="preserve">10 </w:t>
      </w:r>
      <w:r w:rsidRPr="00DF4F5A">
        <w:rPr>
          <w:rFonts w:eastAsia="宋体"/>
          <w:b/>
          <w:color w:val="070404"/>
        </w:rPr>
        <w:tab/>
      </w:r>
      <w:r w:rsidRPr="00DF4F5A">
        <w:rPr>
          <w:b/>
          <w:color w:val="070404"/>
        </w:rPr>
        <w:t>Others</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12020"/>
          <w:sz w:val="24"/>
        </w:rPr>
        <w:t xml:space="preserve">10.1 </w:t>
      </w:r>
      <w:r w:rsidRPr="00DF4F5A">
        <w:rPr>
          <w:rFonts w:ascii="Times New Roman" w:eastAsia="宋体" w:cs="Times New Roman"/>
          <w:color w:val="212020"/>
          <w:sz w:val="24"/>
        </w:rPr>
        <w:tab/>
      </w:r>
      <w:r w:rsidRPr="00DF4F5A">
        <w:rPr>
          <w:rFonts w:ascii="Times New Roman" w:cs="Times New Roman"/>
          <w:color w:val="212020"/>
          <w:sz w:val="24"/>
        </w:rPr>
        <w:t xml:space="preserve">The cylinder valves and pipelines in the device shall be checked and all valves shall be closed before handling the cylinder bundle.  In case of any leakage found, it shall be repaired or replaced in time.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000000"/>
          <w:sz w:val="24"/>
        </w:rPr>
      </w:pPr>
      <w:r w:rsidRPr="00DF4F5A">
        <w:rPr>
          <w:rFonts w:ascii="Times New Roman" w:cs="Times New Roman"/>
          <w:color w:val="212020"/>
          <w:sz w:val="24"/>
        </w:rPr>
        <w:t xml:space="preserve">10.2 </w:t>
      </w:r>
      <w:r w:rsidRPr="00DF4F5A">
        <w:rPr>
          <w:rFonts w:ascii="Times New Roman" w:eastAsia="宋体" w:cs="Times New Roman"/>
          <w:color w:val="212020"/>
          <w:sz w:val="24"/>
        </w:rPr>
        <w:tab/>
      </w:r>
      <w:r w:rsidRPr="00DF4F5A">
        <w:rPr>
          <w:rFonts w:ascii="Times New Roman" w:cs="Times New Roman"/>
          <w:color w:val="212020"/>
          <w:sz w:val="24"/>
        </w:rPr>
        <w:t xml:space="preserve">Safe and reliable handling tools shall be used for the cylinder bundle during the process of handling, loading, and unloading.  Making sure the loading and unloading are light. It is strictly prohibited to hoist the pipeline. In case of any leakage found, the operation shall be stopped and it shall be handled according to the accident treatment measures. </w:t>
      </w:r>
    </w:p>
    <w:p w:rsidR="00B250AF" w:rsidRPr="00DF4F5A" w:rsidRDefault="00A144D0">
      <w:pPr>
        <w:pStyle w:val="a3"/>
        <w:kinsoku w:val="0"/>
        <w:overflowPunct w:val="0"/>
        <w:snapToGrid w:val="0"/>
        <w:spacing w:beforeLines="50" w:before="120" w:afterLines="50" w:after="120"/>
        <w:jc w:val="both"/>
        <w:rPr>
          <w:rFonts w:ascii="Times New Roman" w:eastAsia="宋体" w:cs="Times New Roman"/>
          <w:snapToGrid w:val="0"/>
          <w:color w:val="212121"/>
          <w:sz w:val="24"/>
        </w:rPr>
      </w:pPr>
      <w:r w:rsidRPr="00DF4F5A">
        <w:rPr>
          <w:rFonts w:ascii="Times New Roman" w:cs="Times New Roman"/>
          <w:color w:val="212121"/>
          <w:sz w:val="24"/>
        </w:rPr>
        <w:t xml:space="preserve">10.3 </w:t>
      </w:r>
      <w:r w:rsidRPr="00DF4F5A">
        <w:rPr>
          <w:rFonts w:ascii="Times New Roman" w:eastAsia="宋体" w:cs="Times New Roman"/>
          <w:color w:val="212121"/>
          <w:sz w:val="24"/>
        </w:rPr>
        <w:tab/>
      </w:r>
      <w:r w:rsidRPr="00DF4F5A">
        <w:rPr>
          <w:rFonts w:ascii="Times New Roman" w:cs="Times New Roman"/>
          <w:color w:val="212121"/>
          <w:sz w:val="24"/>
        </w:rPr>
        <w:t xml:space="preserve">The cylinder bundle shall be stored in a place that is ventilated, dry, free from corrosive gas and sun exposure. </w:t>
      </w:r>
    </w:p>
    <w:p w:rsidR="00B250AF" w:rsidRPr="004814DD" w:rsidRDefault="00A144D0">
      <w:pPr>
        <w:pStyle w:val="a3"/>
        <w:kinsoku w:val="0"/>
        <w:overflowPunct w:val="0"/>
        <w:snapToGrid w:val="0"/>
        <w:spacing w:beforeLines="50" w:before="120" w:afterLines="50" w:after="120"/>
        <w:jc w:val="center"/>
        <w:rPr>
          <w:rFonts w:ascii="Times New Roman" w:eastAsia="宋体" w:cs="Times New Roman"/>
          <w:snapToGrid w:val="0"/>
          <w:color w:val="000000"/>
          <w:sz w:val="24"/>
        </w:rPr>
      </w:pPr>
      <w:r w:rsidRPr="00DF4F5A">
        <w:rPr>
          <w:rFonts w:ascii="Times New Roman" w:eastAsia="宋体" w:cs="Times New Roman"/>
          <w:color w:val="212121"/>
          <w:sz w:val="24"/>
        </w:rPr>
        <w:t>__________________</w:t>
      </w:r>
      <w:bookmarkEnd w:id="0"/>
    </w:p>
    <w:sectPr w:rsidR="00B250AF" w:rsidRPr="004814DD">
      <w:headerReference w:type="even" r:id="rId10"/>
      <w:headerReference w:type="default" r:id="rId11"/>
      <w:footerReference w:type="even" r:id="rId12"/>
      <w:footerReference w:type="default" r:id="rId13"/>
      <w:pgSz w:w="11906" w:h="16840"/>
      <w:pgMar w:top="1134" w:right="1417" w:bottom="1134" w:left="1417" w:header="720" w:footer="720" w:gutter="0"/>
      <w:pgNumType w:start="1"/>
      <w:cols w:space="720" w:equalWidth="0">
        <w:col w:w="9072"/>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E9D" w:rsidRDefault="002F4E9D">
      <w:r>
        <w:separator/>
      </w:r>
    </w:p>
  </w:endnote>
  <w:endnote w:type="continuationSeparator" w:id="0">
    <w:p w:rsidR="002F4E9D" w:rsidRDefault="002F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ﾋﾎﾌ・Std L">
    <w:altName w:val="MS Mincho"/>
    <w:charset w:val="80"/>
    <w:family w:val="roman"/>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AF" w:rsidRDefault="00A144D0">
    <w:pPr>
      <w:kinsoku w:val="0"/>
      <w:overflowPunct w:val="0"/>
      <w:snapToGrid w:val="0"/>
      <w:spacing w:beforeLines="10" w:before="24" w:afterLines="10" w:after="24"/>
      <w:jc w:val="right"/>
      <w:rPr>
        <w:rFonts w:eastAsia="宋体" w:cs="Adobe ﾋﾎﾌ・Std L"/>
        <w:snapToGrid w:val="0"/>
        <w:color w:val="070504"/>
        <w:sz w:val="21"/>
        <w:szCs w:val="18"/>
      </w:rPr>
    </w:pPr>
    <w:r>
      <w:rPr>
        <w:rFonts w:eastAsia="宋体" w:cs="Adobe ﾋﾎﾌ・Std L" w:hint="eastAsia"/>
        <w:color w:val="070504"/>
        <w:sz w:val="21"/>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AF" w:rsidRDefault="00A144D0">
    <w:pPr>
      <w:kinsoku w:val="0"/>
      <w:overflowPunct w:val="0"/>
      <w:snapToGrid w:val="0"/>
      <w:spacing w:beforeLines="10" w:before="24" w:afterLines="10" w:after="24"/>
      <w:rPr>
        <w:rFonts w:eastAsia="宋体" w:cs="Adobe ﾋﾎﾌ・Std L"/>
        <w:snapToGrid w:val="0"/>
        <w:color w:val="070504"/>
        <w:sz w:val="21"/>
        <w:szCs w:val="18"/>
      </w:rPr>
    </w:pPr>
    <w:r>
      <w:rPr>
        <w:rFonts w:eastAsia="宋体" w:cs="Adobe ﾋﾎﾌ・Std L"/>
        <w:color w:val="070504"/>
        <w:sz w:val="21"/>
      </w:rPr>
      <w:fldChar w:fldCharType="begin"/>
    </w:r>
    <w:r>
      <w:rPr>
        <w:rFonts w:eastAsia="宋体" w:cs="Adobe ﾋﾎﾌ・Std L"/>
        <w:color w:val="070504"/>
        <w:sz w:val="21"/>
      </w:rPr>
      <w:instrText>PAGE   \* MERGEFORMAT</w:instrText>
    </w:r>
    <w:r>
      <w:rPr>
        <w:rFonts w:eastAsia="宋体" w:cs="Adobe ﾋﾎﾌ・Std L"/>
        <w:color w:val="070504"/>
        <w:sz w:val="21"/>
      </w:rPr>
      <w:fldChar w:fldCharType="separate"/>
    </w:r>
    <w:r w:rsidR="00DF4F5A">
      <w:rPr>
        <w:rFonts w:eastAsia="宋体" w:cs="Adobe ﾋﾎﾌ・Std L"/>
        <w:noProof/>
        <w:color w:val="070504"/>
        <w:sz w:val="21"/>
      </w:rPr>
      <w:t>6</w:t>
    </w:r>
    <w:r>
      <w:rPr>
        <w:rFonts w:eastAsia="宋体" w:cs="Adobe ﾋﾎﾌ・Std L"/>
        <w:color w:val="070504"/>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AF" w:rsidRDefault="00A144D0">
    <w:pPr>
      <w:kinsoku w:val="0"/>
      <w:overflowPunct w:val="0"/>
      <w:snapToGrid w:val="0"/>
      <w:spacing w:beforeLines="10" w:before="24" w:afterLines="10" w:after="24"/>
      <w:jc w:val="right"/>
      <w:rPr>
        <w:rFonts w:eastAsia="宋体" w:cs="Adobe ﾋﾎﾌ・Std L"/>
        <w:snapToGrid w:val="0"/>
        <w:color w:val="070504"/>
        <w:sz w:val="21"/>
        <w:szCs w:val="18"/>
      </w:rPr>
    </w:pPr>
    <w:r>
      <w:rPr>
        <w:rFonts w:eastAsia="宋体" w:cs="Adobe ﾋﾎﾌ・Std L"/>
        <w:color w:val="070504"/>
        <w:sz w:val="21"/>
      </w:rPr>
      <w:fldChar w:fldCharType="begin"/>
    </w:r>
    <w:r>
      <w:rPr>
        <w:rFonts w:eastAsia="宋体" w:cs="Adobe ﾋﾎﾌ・Std L"/>
        <w:color w:val="070504"/>
        <w:sz w:val="21"/>
      </w:rPr>
      <w:instrText>PAGE   \* MERGEFORMAT</w:instrText>
    </w:r>
    <w:r>
      <w:rPr>
        <w:rFonts w:eastAsia="宋体" w:cs="Adobe ﾋﾎﾌ・Std L"/>
        <w:color w:val="070504"/>
        <w:sz w:val="21"/>
      </w:rPr>
      <w:fldChar w:fldCharType="separate"/>
    </w:r>
    <w:r w:rsidR="00DF4F5A">
      <w:rPr>
        <w:rFonts w:eastAsia="宋体" w:cs="Adobe ﾋﾎﾌ・Std L"/>
        <w:noProof/>
        <w:color w:val="070504"/>
        <w:sz w:val="21"/>
      </w:rPr>
      <w:t>5</w:t>
    </w:r>
    <w:r>
      <w:rPr>
        <w:rFonts w:eastAsia="宋体" w:cs="Adobe ﾋﾎﾌ・Std L"/>
        <w:color w:val="070504"/>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E9D" w:rsidRDefault="002F4E9D">
      <w:r>
        <w:separator/>
      </w:r>
    </w:p>
  </w:footnote>
  <w:footnote w:type="continuationSeparator" w:id="0">
    <w:p w:rsidR="002F4E9D" w:rsidRDefault="002F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AF" w:rsidRDefault="00A144D0">
    <w:pPr>
      <w:kinsoku w:val="0"/>
      <w:overflowPunct w:val="0"/>
      <w:snapToGrid w:val="0"/>
      <w:spacing w:beforeLines="10" w:before="24" w:afterLines="10" w:after="24"/>
      <w:rPr>
        <w:rFonts w:eastAsia="宋体" w:cs="Adobe ﾋﾎﾌ・Std L"/>
        <w:snapToGrid w:val="0"/>
        <w:color w:val="000000"/>
        <w:sz w:val="21"/>
        <w:szCs w:val="17"/>
      </w:rPr>
    </w:pPr>
    <w:r>
      <w:rPr>
        <w:rFonts w:eastAsia="宋体" w:cs="Adobe ﾋﾎﾌ・Std L"/>
        <w:color w:val="070504"/>
        <w:sz w:val="21"/>
      </w:rPr>
      <w:t>GB/T 34528-2017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AF" w:rsidRDefault="00A144D0">
    <w:pPr>
      <w:kinsoku w:val="0"/>
      <w:overflowPunct w:val="0"/>
      <w:snapToGrid w:val="0"/>
      <w:spacing w:beforeLines="10" w:before="24" w:afterLines="10" w:after="24"/>
      <w:jc w:val="right"/>
      <w:rPr>
        <w:rFonts w:eastAsia="宋体" w:cs="Adobe ﾋﾎﾌ・Std L"/>
        <w:snapToGrid w:val="0"/>
        <w:color w:val="000000"/>
        <w:sz w:val="21"/>
        <w:szCs w:val="17"/>
      </w:rPr>
    </w:pPr>
    <w:r>
      <w:rPr>
        <w:rFonts w:eastAsia="宋体" w:cs="Adobe ﾋﾎﾌ・Std L"/>
        <w:color w:val="070504"/>
        <w:sz w:val="21"/>
      </w:rPr>
      <w:t>GB/T 34528-2017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80"/>
  <w:evenAndOddHeader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644"/>
    <w:rsid w:val="000322C9"/>
    <w:rsid w:val="0009694D"/>
    <w:rsid w:val="000A42B5"/>
    <w:rsid w:val="000C0E56"/>
    <w:rsid w:val="000C5FCC"/>
    <w:rsid w:val="000D3F50"/>
    <w:rsid w:val="0011598B"/>
    <w:rsid w:val="00145F2A"/>
    <w:rsid w:val="001850A4"/>
    <w:rsid w:val="002332D1"/>
    <w:rsid w:val="0023767E"/>
    <w:rsid w:val="002F4E9D"/>
    <w:rsid w:val="00346BCC"/>
    <w:rsid w:val="003C4BF8"/>
    <w:rsid w:val="003D56AA"/>
    <w:rsid w:val="00440EBD"/>
    <w:rsid w:val="004814DD"/>
    <w:rsid w:val="004A56FA"/>
    <w:rsid w:val="005D1299"/>
    <w:rsid w:val="005E611D"/>
    <w:rsid w:val="00641E2F"/>
    <w:rsid w:val="006F02FD"/>
    <w:rsid w:val="007C43CA"/>
    <w:rsid w:val="009F547E"/>
    <w:rsid w:val="00A144D0"/>
    <w:rsid w:val="00AF7539"/>
    <w:rsid w:val="00B1734E"/>
    <w:rsid w:val="00B250AF"/>
    <w:rsid w:val="00B637BD"/>
    <w:rsid w:val="00DF4F5A"/>
    <w:rsid w:val="00E15644"/>
    <w:rsid w:val="00E72BFE"/>
    <w:rsid w:val="00FA7BD1"/>
    <w:rsid w:val="00FB044F"/>
    <w:rsid w:val="70FD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Char"/>
    <w:uiPriority w:val="1"/>
    <w:qFormat/>
    <w:pPr>
      <w:outlineLvl w:val="0"/>
    </w:pPr>
    <w:rPr>
      <w:rFonts w:ascii="Adobe ﾋﾎﾌ・Std L" w:eastAsia="Adobe ﾋﾎﾌ・Std L" w:cs="Adobe ﾋﾎﾌ・Std L"/>
      <w:sz w:val="50"/>
      <w:szCs w:val="50"/>
    </w:rPr>
  </w:style>
  <w:style w:type="paragraph" w:styleId="2">
    <w:name w:val="heading 2"/>
    <w:basedOn w:val="a"/>
    <w:next w:val="a"/>
    <w:link w:val="2Char"/>
    <w:uiPriority w:val="1"/>
    <w:qFormat/>
    <w:pPr>
      <w:outlineLvl w:val="1"/>
    </w:pPr>
    <w:rPr>
      <w:rFonts w:ascii="Adobe ﾋﾎﾌ・Std L" w:eastAsia="Adobe ﾋﾎﾌ・Std L" w:cs="Adobe ﾋﾎﾌ・Std 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rFonts w:ascii="Adobe ﾋﾎﾌ・Std L" w:eastAsia="Adobe ﾋﾎﾌ・Std L" w:cs="Adobe ﾋﾎﾌ・Std L"/>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semiHidden/>
    <w:qFormat/>
    <w:rPr>
      <w:rFonts w:ascii="Times New Roman" w:hAnsi="Times New Roman" w:cs="Times New Roman"/>
      <w:kern w:val="0"/>
      <w:sz w:val="24"/>
      <w:szCs w:val="24"/>
    </w:rPr>
  </w:style>
  <w:style w:type="character" w:customStyle="1" w:styleId="1Char">
    <w:name w:val="标题 1 Char"/>
    <w:basedOn w:val="a0"/>
    <w:link w:val="1"/>
    <w:uiPriority w:val="9"/>
    <w:qFormat/>
    <w:rPr>
      <w:rFonts w:ascii="Times New Roman" w:hAnsi="Times New Roman" w:cs="Times New Roman"/>
      <w:b/>
      <w:bCs/>
      <w:kern w:val="44"/>
      <w:sz w:val="44"/>
      <w:szCs w:val="44"/>
    </w:rPr>
  </w:style>
  <w:style w:type="character" w:customStyle="1" w:styleId="2Char">
    <w:name w:val="标题 2 Char"/>
    <w:basedOn w:val="a0"/>
    <w:link w:val="2"/>
    <w:uiPriority w:val="1"/>
    <w:qFormat/>
    <w:rPr>
      <w:rFonts w:asciiTheme="majorHAnsi" w:eastAsiaTheme="majorEastAsia" w:hAnsiTheme="majorHAnsi" w:cstheme="majorBidi"/>
      <w:b/>
      <w:bCs/>
      <w:kern w:val="0"/>
      <w:sz w:val="32"/>
      <w:szCs w:val="32"/>
    </w:r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Char0">
    <w:name w:val="批注框文本 Char"/>
    <w:basedOn w:val="a0"/>
    <w:link w:val="a4"/>
    <w:uiPriority w:val="99"/>
    <w:semiHidden/>
    <w:qFormat/>
    <w:rPr>
      <w:rFonts w:ascii="Times New Roman" w:hAnsi="Times New Roman" w:cs="Times New Roman"/>
      <w:kern w:val="0"/>
      <w:sz w:val="18"/>
      <w:szCs w:val="18"/>
    </w:rPr>
  </w:style>
  <w:style w:type="character" w:customStyle="1" w:styleId="Char2">
    <w:name w:val="页眉 Char"/>
    <w:basedOn w:val="a0"/>
    <w:link w:val="a6"/>
    <w:uiPriority w:val="99"/>
    <w:qFormat/>
    <w:rPr>
      <w:rFonts w:ascii="Times New Roman" w:hAnsi="Times New Roman" w:cs="Times New Roman"/>
      <w:kern w:val="0"/>
      <w:sz w:val="18"/>
      <w:szCs w:val="18"/>
    </w:rPr>
  </w:style>
  <w:style w:type="character" w:customStyle="1" w:styleId="Char1">
    <w:name w:val="页脚 Char"/>
    <w:basedOn w:val="a0"/>
    <w:link w:val="a5"/>
    <w:uiPriority w:val="99"/>
    <w:qFormat/>
    <w:rPr>
      <w:rFonts w:ascii="Times New Roman"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Char"/>
    <w:uiPriority w:val="1"/>
    <w:qFormat/>
    <w:pPr>
      <w:outlineLvl w:val="0"/>
    </w:pPr>
    <w:rPr>
      <w:rFonts w:ascii="Adobe ﾋﾎﾌ・Std L" w:eastAsia="Adobe ﾋﾎﾌ・Std L" w:cs="Adobe ﾋﾎﾌ・Std L"/>
      <w:sz w:val="50"/>
      <w:szCs w:val="50"/>
    </w:rPr>
  </w:style>
  <w:style w:type="paragraph" w:styleId="2">
    <w:name w:val="heading 2"/>
    <w:basedOn w:val="a"/>
    <w:next w:val="a"/>
    <w:link w:val="2Char"/>
    <w:uiPriority w:val="1"/>
    <w:qFormat/>
    <w:pPr>
      <w:outlineLvl w:val="1"/>
    </w:pPr>
    <w:rPr>
      <w:rFonts w:ascii="Adobe ﾋﾎﾌ・Std L" w:eastAsia="Adobe ﾋﾎﾌ・Std L" w:cs="Adobe ﾋﾎﾌ・Std 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Pr>
      <w:rFonts w:ascii="Adobe ﾋﾎﾌ・Std L" w:eastAsia="Adobe ﾋﾎﾌ・Std L" w:cs="Adobe ﾋﾎﾌ・Std L"/>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semiHidden/>
    <w:qFormat/>
    <w:rPr>
      <w:rFonts w:ascii="Times New Roman" w:hAnsi="Times New Roman" w:cs="Times New Roman"/>
      <w:kern w:val="0"/>
      <w:sz w:val="24"/>
      <w:szCs w:val="24"/>
    </w:rPr>
  </w:style>
  <w:style w:type="character" w:customStyle="1" w:styleId="1Char">
    <w:name w:val="标题 1 Char"/>
    <w:basedOn w:val="a0"/>
    <w:link w:val="1"/>
    <w:uiPriority w:val="9"/>
    <w:qFormat/>
    <w:rPr>
      <w:rFonts w:ascii="Times New Roman" w:hAnsi="Times New Roman" w:cs="Times New Roman"/>
      <w:b/>
      <w:bCs/>
      <w:kern w:val="44"/>
      <w:sz w:val="44"/>
      <w:szCs w:val="44"/>
    </w:rPr>
  </w:style>
  <w:style w:type="character" w:customStyle="1" w:styleId="2Char">
    <w:name w:val="标题 2 Char"/>
    <w:basedOn w:val="a0"/>
    <w:link w:val="2"/>
    <w:uiPriority w:val="1"/>
    <w:qFormat/>
    <w:rPr>
      <w:rFonts w:asciiTheme="majorHAnsi" w:eastAsiaTheme="majorEastAsia" w:hAnsiTheme="majorHAnsi" w:cstheme="majorBidi"/>
      <w:b/>
      <w:bCs/>
      <w:kern w:val="0"/>
      <w:sz w:val="32"/>
      <w:szCs w:val="32"/>
    </w:rPr>
  </w:style>
  <w:style w:type="paragraph" w:styleId="a8">
    <w:name w:val="List Paragraph"/>
    <w:basedOn w:val="a"/>
    <w:uiPriority w:val="1"/>
    <w:qFormat/>
  </w:style>
  <w:style w:type="paragraph" w:customStyle="1" w:styleId="TableParagraph">
    <w:name w:val="Table Paragraph"/>
    <w:basedOn w:val="a"/>
    <w:uiPriority w:val="1"/>
    <w:qFormat/>
  </w:style>
  <w:style w:type="character" w:customStyle="1" w:styleId="Char0">
    <w:name w:val="批注框文本 Char"/>
    <w:basedOn w:val="a0"/>
    <w:link w:val="a4"/>
    <w:uiPriority w:val="99"/>
    <w:semiHidden/>
    <w:qFormat/>
    <w:rPr>
      <w:rFonts w:ascii="Times New Roman" w:hAnsi="Times New Roman" w:cs="Times New Roman"/>
      <w:kern w:val="0"/>
      <w:sz w:val="18"/>
      <w:szCs w:val="18"/>
    </w:rPr>
  </w:style>
  <w:style w:type="character" w:customStyle="1" w:styleId="Char2">
    <w:name w:val="页眉 Char"/>
    <w:basedOn w:val="a0"/>
    <w:link w:val="a6"/>
    <w:uiPriority w:val="99"/>
    <w:qFormat/>
    <w:rPr>
      <w:rFonts w:ascii="Times New Roman" w:hAnsi="Times New Roman" w:cs="Times New Roman"/>
      <w:kern w:val="0"/>
      <w:sz w:val="18"/>
      <w:szCs w:val="18"/>
    </w:rPr>
  </w:style>
  <w:style w:type="character" w:customStyle="1" w:styleId="Char1">
    <w:name w:val="页脚 Char"/>
    <w:basedOn w:val="a0"/>
    <w:link w:val="a5"/>
    <w:uiPriority w:val="99"/>
    <w:qFormat/>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2869</Words>
  <Characters>16355</Characters>
  <Application>Microsoft Office Word</Application>
  <DocSecurity>0</DocSecurity>
  <Lines>136</Lines>
  <Paragraphs>38</Paragraphs>
  <ScaleCrop>false</ScaleCrop>
  <Company>Microsoft</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dc:creator>
  <cp:lastModifiedBy>user</cp:lastModifiedBy>
  <cp:revision>31</cp:revision>
  <dcterms:created xsi:type="dcterms:W3CDTF">2020-06-11T06:02:00Z</dcterms:created>
  <dcterms:modified xsi:type="dcterms:W3CDTF">2020-06-16T03:24:00Z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